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53DD2" w14:textId="2A551113" w:rsidR="00EE4313" w:rsidRDefault="00CF5BC9" w:rsidP="0059286E">
      <w:pPr>
        <w:pStyle w:val="DHHSreportmaintitlewhite"/>
        <w:rPr>
          <w:rFonts w:ascii="ArialMT" w:hAnsi="ArialMT" w:cs="ArialMT"/>
          <w:spacing w:val="0"/>
          <w:sz w:val="54"/>
          <w:szCs w:val="58"/>
          <w:lang w:val="en-US"/>
        </w:rPr>
      </w:pPr>
      <w:bookmarkStart w:id="0" w:name="_GoBack"/>
      <w:bookmarkEnd w:id="0"/>
      <w:r w:rsidRPr="00B76A81">
        <w:rPr>
          <w:noProof/>
          <w:spacing w:val="0"/>
        </w:rPr>
        <w:drawing>
          <wp:anchor distT="0" distB="0" distL="114300" distR="114300" simplePos="0" relativeHeight="251659264" behindDoc="1" locked="0" layoutInCell="0" allowOverlap="1" wp14:anchorId="1DA411FE" wp14:editId="644687A7">
            <wp:simplePos x="0" y="0"/>
            <wp:positionH relativeFrom="page">
              <wp:posOffset>-635</wp:posOffset>
            </wp:positionH>
            <wp:positionV relativeFrom="page">
              <wp:align>top</wp:align>
            </wp:positionV>
            <wp:extent cx="7562215" cy="10697210"/>
            <wp:effectExtent l="0" t="0" r="635" b="8890"/>
            <wp:wrapNone/>
            <wp:docPr id="2" name="Picture 9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11"/>
                    <a:stretch>
                      <a:fillRect/>
                    </a:stretch>
                  </pic:blipFill>
                  <pic:spPr bwMode="auto">
                    <a:xfrm>
                      <a:off x="0" y="0"/>
                      <a:ext cx="7562215" cy="1069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9286E" w:rsidRPr="00B76A81">
        <w:rPr>
          <w:rFonts w:ascii="ArialMT" w:hAnsi="ArialMT" w:cs="ArialMT"/>
          <w:spacing w:val="0"/>
          <w:sz w:val="54"/>
          <w:szCs w:val="58"/>
          <w:lang w:val="en-US"/>
        </w:rPr>
        <w:t>Mental Health Carer Support Fund</w:t>
      </w:r>
      <w:r w:rsidR="000C50AB">
        <w:rPr>
          <w:rFonts w:ascii="ArialMT" w:hAnsi="ArialMT" w:cs="ArialMT"/>
          <w:spacing w:val="0"/>
          <w:sz w:val="54"/>
          <w:szCs w:val="58"/>
          <w:lang w:val="en-US"/>
        </w:rPr>
        <w:t xml:space="preserve"> guidelines</w:t>
      </w:r>
    </w:p>
    <w:p w14:paraId="71FB8118" w14:textId="5A30C6D4" w:rsidR="00742D07" w:rsidRPr="00B76A81" w:rsidRDefault="0059286E" w:rsidP="00E91933">
      <w:pPr>
        <w:pStyle w:val="DHHSreportsubtitlecover"/>
      </w:pPr>
      <w:r w:rsidRPr="00B76A81">
        <w:t>July 2020</w:t>
      </w:r>
    </w:p>
    <w:p w14:paraId="589468BC" w14:textId="77777777" w:rsidR="0069374A" w:rsidRPr="00B76A81" w:rsidRDefault="0069374A" w:rsidP="00256E7C">
      <w:pPr>
        <w:pStyle w:val="DHHSbody"/>
      </w:pPr>
    </w:p>
    <w:p w14:paraId="5082C73E" w14:textId="77777777" w:rsidR="00C51B1C" w:rsidRPr="00B76A81" w:rsidRDefault="00C51B1C" w:rsidP="00256E7C">
      <w:pPr>
        <w:pStyle w:val="DHHSbody"/>
        <w:sectPr w:rsidR="00C51B1C" w:rsidRPr="00B76A81" w:rsidSect="00A94D93">
          <w:headerReference w:type="even" r:id="rId12"/>
          <w:headerReference w:type="default" r:id="rId13"/>
          <w:footerReference w:type="even" r:id="rId14"/>
          <w:footerReference w:type="default" r:id="rId15"/>
          <w:headerReference w:type="first" r:id="rId16"/>
          <w:footerReference w:type="first" r:id="rId17"/>
          <w:type w:val="oddPage"/>
          <w:pgSz w:w="11906" w:h="16838"/>
          <w:pgMar w:top="3969" w:right="1304" w:bottom="1134" w:left="1304" w:header="454" w:footer="567" w:gutter="0"/>
          <w:cols w:space="720"/>
          <w:docGrid w:linePitch="360"/>
        </w:sectPr>
      </w:pPr>
    </w:p>
    <w:p w14:paraId="3FFEB091" w14:textId="6B2BBD0F" w:rsidR="00FC0E03" w:rsidRPr="00FC0E03" w:rsidRDefault="00FC0E03" w:rsidP="00FC0E03">
      <w:pPr>
        <w:pStyle w:val="DHHSbody"/>
        <w:rPr>
          <w:sz w:val="24"/>
          <w:szCs w:val="19"/>
        </w:rPr>
      </w:pPr>
      <w:r w:rsidRPr="00FC0E03">
        <w:rPr>
          <w:sz w:val="24"/>
          <w:szCs w:val="19"/>
        </w:rPr>
        <w:lastRenderedPageBreak/>
        <w:t xml:space="preserve">To receive this publication in an accessible format </w:t>
      </w:r>
      <w:hyperlink r:id="rId18" w:history="1">
        <w:r w:rsidRPr="00FC0E03">
          <w:rPr>
            <w:rStyle w:val="Hyperlink"/>
            <w:sz w:val="24"/>
            <w:szCs w:val="19"/>
          </w:rPr>
          <w:t>email Lived Experience Engagement</w:t>
        </w:r>
      </w:hyperlink>
      <w:r w:rsidRPr="00FC0E03">
        <w:rPr>
          <w:sz w:val="24"/>
          <w:szCs w:val="19"/>
        </w:rPr>
        <w:t xml:space="preserve"> &lt;lived-experience-engagement-team@dhhs.vic.gov.au&gt;.</w:t>
      </w:r>
    </w:p>
    <w:p w14:paraId="28C874EE" w14:textId="77777777" w:rsidR="00FC0E03" w:rsidRPr="00FC0E03" w:rsidRDefault="00FC0E03" w:rsidP="00FC0E03">
      <w:pPr>
        <w:pStyle w:val="DHHSbody"/>
      </w:pPr>
      <w:r w:rsidRPr="00FC0E03">
        <w:t>Authorised and published by the Victorian Government, 1 Treasury Place, Melbourne.</w:t>
      </w:r>
    </w:p>
    <w:p w14:paraId="2D3AA887" w14:textId="77777777" w:rsidR="00FC0E03" w:rsidRPr="00FC0E03" w:rsidRDefault="00FC0E03" w:rsidP="00FC0E03">
      <w:pPr>
        <w:pStyle w:val="DHHSbody"/>
      </w:pPr>
      <w:r w:rsidRPr="00FC0E03">
        <w:t>© State of Victoria, Australia, Department of Health and Human Services, July 2020.</w:t>
      </w:r>
    </w:p>
    <w:p w14:paraId="692A9DB6" w14:textId="7CCB4651" w:rsidR="00FC0E03" w:rsidRPr="00FC0E03" w:rsidRDefault="00FC0E03" w:rsidP="00FC0E03">
      <w:pPr>
        <w:pStyle w:val="DHHSbody"/>
      </w:pPr>
      <w:r w:rsidRPr="00FC0E03">
        <w:t>ISBN 9780731173020 (online/PDF/Word). First issued August 2017. Reissued July 2020</w:t>
      </w:r>
    </w:p>
    <w:p w14:paraId="0914F462" w14:textId="0469C802" w:rsidR="00FB34F2" w:rsidRPr="00764891" w:rsidRDefault="009F5EF2" w:rsidP="00FC0E03">
      <w:pPr>
        <w:pStyle w:val="DHHSbody"/>
        <w:rPr>
          <w:szCs w:val="19"/>
        </w:rPr>
      </w:pPr>
      <w:r w:rsidRPr="00B76A81">
        <w:rPr>
          <w:szCs w:val="19"/>
        </w:rPr>
        <w:t xml:space="preserve">Available </w:t>
      </w:r>
      <w:r w:rsidR="00764891">
        <w:rPr>
          <w:szCs w:val="19"/>
        </w:rPr>
        <w:t xml:space="preserve">on </w:t>
      </w:r>
      <w:hyperlink r:id="rId19" w:history="1">
        <w:r w:rsidR="00764891" w:rsidRPr="00764891">
          <w:rPr>
            <w:rStyle w:val="Hyperlink"/>
            <w:szCs w:val="19"/>
          </w:rPr>
          <w:t>health.vic – Consumer and carer financial support</w:t>
        </w:r>
      </w:hyperlink>
      <w:r w:rsidR="00764891">
        <w:rPr>
          <w:szCs w:val="19"/>
        </w:rPr>
        <w:t xml:space="preserve"> &lt;</w:t>
      </w:r>
      <w:r w:rsidR="00FB34F2" w:rsidRPr="00764891">
        <w:rPr>
          <w:szCs w:val="19"/>
        </w:rPr>
        <w:t>https://www2.health.vic.gov.au/mental-health/working-with-consumers-and-carers/financial-support-consumers-carers</w:t>
      </w:r>
      <w:r w:rsidR="00764891" w:rsidRPr="00764891">
        <w:rPr>
          <w:szCs w:val="19"/>
        </w:rPr>
        <w:t>&gt;</w:t>
      </w:r>
    </w:p>
    <w:p w14:paraId="7B3E4FCE" w14:textId="6D080DCB" w:rsidR="00466626" w:rsidRPr="00B76A81" w:rsidRDefault="00466626" w:rsidP="009F5EF2">
      <w:pPr>
        <w:pStyle w:val="DHHSbody"/>
        <w:rPr>
          <w:color w:val="000000"/>
          <w:szCs w:val="19"/>
        </w:rPr>
      </w:pPr>
      <w:r>
        <w:t>(2008776 – figures)</w:t>
      </w:r>
    </w:p>
    <w:p w14:paraId="4A6E20DA" w14:textId="77777777" w:rsidR="0059286E" w:rsidRPr="00B76A81" w:rsidRDefault="0059286E">
      <w:pPr>
        <w:rPr>
          <w:rFonts w:ascii="Arial" w:hAnsi="Arial"/>
          <w:bCs/>
          <w:color w:val="004EA8"/>
          <w:sz w:val="44"/>
          <w:szCs w:val="44"/>
        </w:rPr>
      </w:pPr>
      <w:r w:rsidRPr="00B76A81">
        <w:br w:type="page"/>
      </w:r>
    </w:p>
    <w:p w14:paraId="5C29E59F" w14:textId="32538DA7" w:rsidR="00AC0C3B" w:rsidRPr="00B76A81" w:rsidRDefault="00AC0C3B" w:rsidP="00711B0C">
      <w:pPr>
        <w:pStyle w:val="DHHSTOCheadingreport"/>
      </w:pPr>
      <w:r w:rsidRPr="00B76A81">
        <w:lastRenderedPageBreak/>
        <w:t>Contents</w:t>
      </w:r>
    </w:p>
    <w:p w14:paraId="65559C22" w14:textId="5981B539" w:rsidR="006C0F38" w:rsidRDefault="00E15DA9">
      <w:pPr>
        <w:pStyle w:val="TOC1"/>
        <w:rPr>
          <w:rFonts w:asciiTheme="minorHAnsi" w:eastAsiaTheme="minorEastAsia" w:hAnsiTheme="minorHAnsi" w:cstheme="minorBidi"/>
          <w:color w:val="auto"/>
          <w:szCs w:val="22"/>
          <w:lang w:eastAsia="en-AU"/>
        </w:rPr>
      </w:pPr>
      <w:r w:rsidRPr="00B76A81">
        <w:rPr>
          <w:noProof w:val="0"/>
        </w:rPr>
        <w:fldChar w:fldCharType="begin"/>
      </w:r>
      <w:r w:rsidRPr="00B76A81">
        <w:rPr>
          <w:noProof w:val="0"/>
        </w:rPr>
        <w:instrText xml:space="preserve"> TOC \h \z \t "Heading 1,1,Heading 2,2" </w:instrText>
      </w:r>
      <w:r w:rsidRPr="00B76A81">
        <w:rPr>
          <w:noProof w:val="0"/>
        </w:rPr>
        <w:fldChar w:fldCharType="separate"/>
      </w:r>
      <w:hyperlink w:anchor="_Toc51943044" w:history="1">
        <w:r w:rsidR="006C0F38" w:rsidRPr="00D44990">
          <w:rPr>
            <w:rStyle w:val="Hyperlink"/>
          </w:rPr>
          <w:t>Carer Support Fund overview</w:t>
        </w:r>
        <w:r w:rsidR="006C0F38">
          <w:rPr>
            <w:webHidden/>
          </w:rPr>
          <w:tab/>
        </w:r>
        <w:r w:rsidR="006C0F38">
          <w:rPr>
            <w:webHidden/>
          </w:rPr>
          <w:fldChar w:fldCharType="begin"/>
        </w:r>
        <w:r w:rsidR="006C0F38">
          <w:rPr>
            <w:webHidden/>
          </w:rPr>
          <w:instrText xml:space="preserve"> PAGEREF _Toc51943044 \h </w:instrText>
        </w:r>
        <w:r w:rsidR="006C0F38">
          <w:rPr>
            <w:webHidden/>
          </w:rPr>
        </w:r>
        <w:r w:rsidR="006C0F38">
          <w:rPr>
            <w:webHidden/>
          </w:rPr>
          <w:fldChar w:fldCharType="separate"/>
        </w:r>
        <w:r w:rsidR="006C0F38">
          <w:rPr>
            <w:webHidden/>
          </w:rPr>
          <w:t>5</w:t>
        </w:r>
        <w:r w:rsidR="006C0F38">
          <w:rPr>
            <w:webHidden/>
          </w:rPr>
          <w:fldChar w:fldCharType="end"/>
        </w:r>
      </w:hyperlink>
    </w:p>
    <w:p w14:paraId="2053C442" w14:textId="66EF66A8" w:rsidR="006C0F38" w:rsidRDefault="00326AC7">
      <w:pPr>
        <w:pStyle w:val="TOC2"/>
        <w:rPr>
          <w:rFonts w:asciiTheme="minorHAnsi" w:eastAsiaTheme="minorEastAsia" w:hAnsiTheme="minorHAnsi" w:cstheme="minorBidi"/>
          <w:sz w:val="22"/>
          <w:szCs w:val="22"/>
          <w:lang w:eastAsia="en-AU"/>
        </w:rPr>
      </w:pPr>
      <w:hyperlink w:anchor="_Toc51943045" w:history="1">
        <w:r w:rsidR="006C0F38" w:rsidRPr="00D44990">
          <w:rPr>
            <w:rStyle w:val="Hyperlink"/>
          </w:rPr>
          <w:t>Aim</w:t>
        </w:r>
        <w:r w:rsidR="006C0F38">
          <w:rPr>
            <w:webHidden/>
          </w:rPr>
          <w:tab/>
        </w:r>
        <w:r w:rsidR="006C0F38">
          <w:rPr>
            <w:webHidden/>
          </w:rPr>
          <w:fldChar w:fldCharType="begin"/>
        </w:r>
        <w:r w:rsidR="006C0F38">
          <w:rPr>
            <w:webHidden/>
          </w:rPr>
          <w:instrText xml:space="preserve"> PAGEREF _Toc51943045 \h </w:instrText>
        </w:r>
        <w:r w:rsidR="006C0F38">
          <w:rPr>
            <w:webHidden/>
          </w:rPr>
        </w:r>
        <w:r w:rsidR="006C0F38">
          <w:rPr>
            <w:webHidden/>
          </w:rPr>
          <w:fldChar w:fldCharType="separate"/>
        </w:r>
        <w:r w:rsidR="006C0F38">
          <w:rPr>
            <w:webHidden/>
          </w:rPr>
          <w:t>5</w:t>
        </w:r>
        <w:r w:rsidR="006C0F38">
          <w:rPr>
            <w:webHidden/>
          </w:rPr>
          <w:fldChar w:fldCharType="end"/>
        </w:r>
      </w:hyperlink>
    </w:p>
    <w:p w14:paraId="489CCDC6" w14:textId="275E84BC" w:rsidR="006C0F38" w:rsidRDefault="00326AC7">
      <w:pPr>
        <w:pStyle w:val="TOC2"/>
        <w:rPr>
          <w:rFonts w:asciiTheme="minorHAnsi" w:eastAsiaTheme="minorEastAsia" w:hAnsiTheme="minorHAnsi" w:cstheme="minorBidi"/>
          <w:sz w:val="22"/>
          <w:szCs w:val="22"/>
          <w:lang w:eastAsia="en-AU"/>
        </w:rPr>
      </w:pPr>
      <w:hyperlink w:anchor="_Toc51943046" w:history="1">
        <w:r w:rsidR="006C0F38" w:rsidRPr="00D44990">
          <w:rPr>
            <w:rStyle w:val="Hyperlink"/>
          </w:rPr>
          <w:t>Objective</w:t>
        </w:r>
        <w:r w:rsidR="006C0F38">
          <w:rPr>
            <w:webHidden/>
          </w:rPr>
          <w:tab/>
        </w:r>
        <w:r w:rsidR="006C0F38">
          <w:rPr>
            <w:webHidden/>
          </w:rPr>
          <w:fldChar w:fldCharType="begin"/>
        </w:r>
        <w:r w:rsidR="006C0F38">
          <w:rPr>
            <w:webHidden/>
          </w:rPr>
          <w:instrText xml:space="preserve"> PAGEREF _Toc51943046 \h </w:instrText>
        </w:r>
        <w:r w:rsidR="006C0F38">
          <w:rPr>
            <w:webHidden/>
          </w:rPr>
        </w:r>
        <w:r w:rsidR="006C0F38">
          <w:rPr>
            <w:webHidden/>
          </w:rPr>
          <w:fldChar w:fldCharType="separate"/>
        </w:r>
        <w:r w:rsidR="006C0F38">
          <w:rPr>
            <w:webHidden/>
          </w:rPr>
          <w:t>5</w:t>
        </w:r>
        <w:r w:rsidR="006C0F38">
          <w:rPr>
            <w:webHidden/>
          </w:rPr>
          <w:fldChar w:fldCharType="end"/>
        </w:r>
      </w:hyperlink>
    </w:p>
    <w:p w14:paraId="428F0ECE" w14:textId="029A1811" w:rsidR="006C0F38" w:rsidRDefault="00326AC7">
      <w:pPr>
        <w:pStyle w:val="TOC2"/>
        <w:rPr>
          <w:rFonts w:asciiTheme="minorHAnsi" w:eastAsiaTheme="minorEastAsia" w:hAnsiTheme="minorHAnsi" w:cstheme="minorBidi"/>
          <w:sz w:val="22"/>
          <w:szCs w:val="22"/>
          <w:lang w:eastAsia="en-AU"/>
        </w:rPr>
      </w:pPr>
      <w:hyperlink w:anchor="_Toc51943047" w:history="1">
        <w:r w:rsidR="006C0F38" w:rsidRPr="00D44990">
          <w:rPr>
            <w:rStyle w:val="Hyperlink"/>
          </w:rPr>
          <w:t>Governance</w:t>
        </w:r>
        <w:r w:rsidR="006C0F38">
          <w:rPr>
            <w:webHidden/>
          </w:rPr>
          <w:tab/>
        </w:r>
        <w:r w:rsidR="006C0F38">
          <w:rPr>
            <w:webHidden/>
          </w:rPr>
          <w:fldChar w:fldCharType="begin"/>
        </w:r>
        <w:r w:rsidR="006C0F38">
          <w:rPr>
            <w:webHidden/>
          </w:rPr>
          <w:instrText xml:space="preserve"> PAGEREF _Toc51943047 \h </w:instrText>
        </w:r>
        <w:r w:rsidR="006C0F38">
          <w:rPr>
            <w:webHidden/>
          </w:rPr>
        </w:r>
        <w:r w:rsidR="006C0F38">
          <w:rPr>
            <w:webHidden/>
          </w:rPr>
          <w:fldChar w:fldCharType="separate"/>
        </w:r>
        <w:r w:rsidR="006C0F38">
          <w:rPr>
            <w:webHidden/>
          </w:rPr>
          <w:t>5</w:t>
        </w:r>
        <w:r w:rsidR="006C0F38">
          <w:rPr>
            <w:webHidden/>
          </w:rPr>
          <w:fldChar w:fldCharType="end"/>
        </w:r>
      </w:hyperlink>
    </w:p>
    <w:p w14:paraId="0537C191" w14:textId="7EEE662C" w:rsidR="006C0F38" w:rsidRDefault="00326AC7">
      <w:pPr>
        <w:pStyle w:val="TOC2"/>
        <w:rPr>
          <w:rFonts w:asciiTheme="minorHAnsi" w:eastAsiaTheme="minorEastAsia" w:hAnsiTheme="minorHAnsi" w:cstheme="minorBidi"/>
          <w:sz w:val="22"/>
          <w:szCs w:val="22"/>
          <w:lang w:eastAsia="en-AU"/>
        </w:rPr>
      </w:pPr>
      <w:hyperlink w:anchor="_Toc51943048" w:history="1">
        <w:r w:rsidR="006C0F38" w:rsidRPr="00D44990">
          <w:rPr>
            <w:rStyle w:val="Hyperlink"/>
          </w:rPr>
          <w:t>Roles and responsibilities</w:t>
        </w:r>
        <w:r w:rsidR="006C0F38">
          <w:rPr>
            <w:webHidden/>
          </w:rPr>
          <w:tab/>
        </w:r>
        <w:r w:rsidR="006C0F38">
          <w:rPr>
            <w:webHidden/>
          </w:rPr>
          <w:fldChar w:fldCharType="begin"/>
        </w:r>
        <w:r w:rsidR="006C0F38">
          <w:rPr>
            <w:webHidden/>
          </w:rPr>
          <w:instrText xml:space="preserve"> PAGEREF _Toc51943048 \h </w:instrText>
        </w:r>
        <w:r w:rsidR="006C0F38">
          <w:rPr>
            <w:webHidden/>
          </w:rPr>
        </w:r>
        <w:r w:rsidR="006C0F38">
          <w:rPr>
            <w:webHidden/>
          </w:rPr>
          <w:fldChar w:fldCharType="separate"/>
        </w:r>
        <w:r w:rsidR="006C0F38">
          <w:rPr>
            <w:webHidden/>
          </w:rPr>
          <w:t>6</w:t>
        </w:r>
        <w:r w:rsidR="006C0F38">
          <w:rPr>
            <w:webHidden/>
          </w:rPr>
          <w:fldChar w:fldCharType="end"/>
        </w:r>
      </w:hyperlink>
    </w:p>
    <w:p w14:paraId="47098B27" w14:textId="0A45021D" w:rsidR="006C0F38" w:rsidRDefault="00326AC7">
      <w:pPr>
        <w:pStyle w:val="TOC1"/>
        <w:rPr>
          <w:rFonts w:asciiTheme="minorHAnsi" w:eastAsiaTheme="minorEastAsia" w:hAnsiTheme="minorHAnsi" w:cstheme="minorBidi"/>
          <w:color w:val="auto"/>
          <w:szCs w:val="22"/>
          <w:lang w:eastAsia="en-AU"/>
        </w:rPr>
      </w:pPr>
      <w:hyperlink w:anchor="_Toc51943049" w:history="1">
        <w:r w:rsidR="006C0F38" w:rsidRPr="00D44990">
          <w:rPr>
            <w:rStyle w:val="Hyperlink"/>
          </w:rPr>
          <w:t>Independent advisory group terms of reference</w:t>
        </w:r>
        <w:r w:rsidR="006C0F38">
          <w:rPr>
            <w:webHidden/>
          </w:rPr>
          <w:tab/>
        </w:r>
        <w:r w:rsidR="006C0F38">
          <w:rPr>
            <w:webHidden/>
          </w:rPr>
          <w:fldChar w:fldCharType="begin"/>
        </w:r>
        <w:r w:rsidR="006C0F38">
          <w:rPr>
            <w:webHidden/>
          </w:rPr>
          <w:instrText xml:space="preserve"> PAGEREF _Toc51943049 \h </w:instrText>
        </w:r>
        <w:r w:rsidR="006C0F38">
          <w:rPr>
            <w:webHidden/>
          </w:rPr>
        </w:r>
        <w:r w:rsidR="006C0F38">
          <w:rPr>
            <w:webHidden/>
          </w:rPr>
          <w:fldChar w:fldCharType="separate"/>
        </w:r>
        <w:r w:rsidR="006C0F38">
          <w:rPr>
            <w:webHidden/>
          </w:rPr>
          <w:t>8</w:t>
        </w:r>
        <w:r w:rsidR="006C0F38">
          <w:rPr>
            <w:webHidden/>
          </w:rPr>
          <w:fldChar w:fldCharType="end"/>
        </w:r>
      </w:hyperlink>
    </w:p>
    <w:p w14:paraId="542C28D7" w14:textId="157C5E4D" w:rsidR="006C0F38" w:rsidRDefault="00326AC7">
      <w:pPr>
        <w:pStyle w:val="TOC2"/>
        <w:rPr>
          <w:rFonts w:asciiTheme="minorHAnsi" w:eastAsiaTheme="minorEastAsia" w:hAnsiTheme="minorHAnsi" w:cstheme="minorBidi"/>
          <w:sz w:val="22"/>
          <w:szCs w:val="22"/>
          <w:lang w:eastAsia="en-AU"/>
        </w:rPr>
      </w:pPr>
      <w:hyperlink w:anchor="_Toc51943050" w:history="1">
        <w:r w:rsidR="006C0F38" w:rsidRPr="00D44990">
          <w:rPr>
            <w:rStyle w:val="Hyperlink"/>
          </w:rPr>
          <w:t>Meeting</w:t>
        </w:r>
        <w:r w:rsidR="006C0F38" w:rsidRPr="00D44990">
          <w:rPr>
            <w:rStyle w:val="Hyperlink"/>
            <w:bCs/>
          </w:rPr>
          <w:t xml:space="preserve"> </w:t>
        </w:r>
        <w:r w:rsidR="006C0F38" w:rsidRPr="00D44990">
          <w:rPr>
            <w:rStyle w:val="Hyperlink"/>
          </w:rPr>
          <w:t>specifics</w:t>
        </w:r>
        <w:r w:rsidR="006C0F38">
          <w:rPr>
            <w:webHidden/>
          </w:rPr>
          <w:tab/>
        </w:r>
        <w:r w:rsidR="006C0F38">
          <w:rPr>
            <w:webHidden/>
          </w:rPr>
          <w:fldChar w:fldCharType="begin"/>
        </w:r>
        <w:r w:rsidR="006C0F38">
          <w:rPr>
            <w:webHidden/>
          </w:rPr>
          <w:instrText xml:space="preserve"> PAGEREF _Toc51943050 \h </w:instrText>
        </w:r>
        <w:r w:rsidR="006C0F38">
          <w:rPr>
            <w:webHidden/>
          </w:rPr>
        </w:r>
        <w:r w:rsidR="006C0F38">
          <w:rPr>
            <w:webHidden/>
          </w:rPr>
          <w:fldChar w:fldCharType="separate"/>
        </w:r>
        <w:r w:rsidR="006C0F38">
          <w:rPr>
            <w:webHidden/>
          </w:rPr>
          <w:t>8</w:t>
        </w:r>
        <w:r w:rsidR="006C0F38">
          <w:rPr>
            <w:webHidden/>
          </w:rPr>
          <w:fldChar w:fldCharType="end"/>
        </w:r>
      </w:hyperlink>
    </w:p>
    <w:p w14:paraId="3D27997F" w14:textId="208CE525" w:rsidR="006C0F38" w:rsidRDefault="00326AC7">
      <w:pPr>
        <w:pStyle w:val="TOC1"/>
        <w:rPr>
          <w:rFonts w:asciiTheme="minorHAnsi" w:eastAsiaTheme="minorEastAsia" w:hAnsiTheme="minorHAnsi" w:cstheme="minorBidi"/>
          <w:color w:val="auto"/>
          <w:szCs w:val="22"/>
          <w:lang w:eastAsia="en-AU"/>
        </w:rPr>
      </w:pPr>
      <w:hyperlink w:anchor="_Toc51943051" w:history="1">
        <w:r w:rsidR="006C0F38" w:rsidRPr="00D44990">
          <w:rPr>
            <w:rStyle w:val="Hyperlink"/>
          </w:rPr>
          <w:t>Who can access the fund?</w:t>
        </w:r>
        <w:r w:rsidR="006C0F38">
          <w:rPr>
            <w:webHidden/>
          </w:rPr>
          <w:tab/>
        </w:r>
        <w:r w:rsidR="006C0F38">
          <w:rPr>
            <w:webHidden/>
          </w:rPr>
          <w:fldChar w:fldCharType="begin"/>
        </w:r>
        <w:r w:rsidR="006C0F38">
          <w:rPr>
            <w:webHidden/>
          </w:rPr>
          <w:instrText xml:space="preserve"> PAGEREF _Toc51943051 \h </w:instrText>
        </w:r>
        <w:r w:rsidR="006C0F38">
          <w:rPr>
            <w:webHidden/>
          </w:rPr>
        </w:r>
        <w:r w:rsidR="006C0F38">
          <w:rPr>
            <w:webHidden/>
          </w:rPr>
          <w:fldChar w:fldCharType="separate"/>
        </w:r>
        <w:r w:rsidR="006C0F38">
          <w:rPr>
            <w:webHidden/>
          </w:rPr>
          <w:t>11</w:t>
        </w:r>
        <w:r w:rsidR="006C0F38">
          <w:rPr>
            <w:webHidden/>
          </w:rPr>
          <w:fldChar w:fldCharType="end"/>
        </w:r>
      </w:hyperlink>
    </w:p>
    <w:p w14:paraId="33386B5D" w14:textId="3C57ED48" w:rsidR="006C0F38" w:rsidRDefault="00326AC7">
      <w:pPr>
        <w:pStyle w:val="TOC2"/>
        <w:rPr>
          <w:rFonts w:asciiTheme="minorHAnsi" w:eastAsiaTheme="minorEastAsia" w:hAnsiTheme="minorHAnsi" w:cstheme="minorBidi"/>
          <w:sz w:val="22"/>
          <w:szCs w:val="22"/>
          <w:lang w:eastAsia="en-AU"/>
        </w:rPr>
      </w:pPr>
      <w:hyperlink w:anchor="_Toc51943052" w:history="1">
        <w:r w:rsidR="006C0F38" w:rsidRPr="00D44990">
          <w:rPr>
            <w:rStyle w:val="Hyperlink"/>
          </w:rPr>
          <w:t>Eligible beneficiaries</w:t>
        </w:r>
        <w:r w:rsidR="006C0F38">
          <w:rPr>
            <w:webHidden/>
          </w:rPr>
          <w:tab/>
        </w:r>
        <w:r w:rsidR="006C0F38">
          <w:rPr>
            <w:webHidden/>
          </w:rPr>
          <w:fldChar w:fldCharType="begin"/>
        </w:r>
        <w:r w:rsidR="006C0F38">
          <w:rPr>
            <w:webHidden/>
          </w:rPr>
          <w:instrText xml:space="preserve"> PAGEREF _Toc51943052 \h </w:instrText>
        </w:r>
        <w:r w:rsidR="006C0F38">
          <w:rPr>
            <w:webHidden/>
          </w:rPr>
        </w:r>
        <w:r w:rsidR="006C0F38">
          <w:rPr>
            <w:webHidden/>
          </w:rPr>
          <w:fldChar w:fldCharType="separate"/>
        </w:r>
        <w:r w:rsidR="006C0F38">
          <w:rPr>
            <w:webHidden/>
          </w:rPr>
          <w:t>11</w:t>
        </w:r>
        <w:r w:rsidR="006C0F38">
          <w:rPr>
            <w:webHidden/>
          </w:rPr>
          <w:fldChar w:fldCharType="end"/>
        </w:r>
      </w:hyperlink>
    </w:p>
    <w:p w14:paraId="167B9A8A" w14:textId="204BEE58" w:rsidR="006C0F38" w:rsidRDefault="00326AC7">
      <w:pPr>
        <w:pStyle w:val="TOC2"/>
        <w:rPr>
          <w:rFonts w:asciiTheme="minorHAnsi" w:eastAsiaTheme="minorEastAsia" w:hAnsiTheme="minorHAnsi" w:cstheme="minorBidi"/>
          <w:sz w:val="22"/>
          <w:szCs w:val="22"/>
          <w:lang w:eastAsia="en-AU"/>
        </w:rPr>
      </w:pPr>
      <w:hyperlink w:anchor="_Toc51943053" w:history="1">
        <w:r w:rsidR="006C0F38" w:rsidRPr="00D44990">
          <w:rPr>
            <w:rStyle w:val="Hyperlink"/>
          </w:rPr>
          <w:t>Ineligible applicants</w:t>
        </w:r>
        <w:r w:rsidR="006C0F38">
          <w:rPr>
            <w:webHidden/>
          </w:rPr>
          <w:tab/>
        </w:r>
        <w:r w:rsidR="006C0F38">
          <w:rPr>
            <w:webHidden/>
          </w:rPr>
          <w:fldChar w:fldCharType="begin"/>
        </w:r>
        <w:r w:rsidR="006C0F38">
          <w:rPr>
            <w:webHidden/>
          </w:rPr>
          <w:instrText xml:space="preserve"> PAGEREF _Toc51943053 \h </w:instrText>
        </w:r>
        <w:r w:rsidR="006C0F38">
          <w:rPr>
            <w:webHidden/>
          </w:rPr>
        </w:r>
        <w:r w:rsidR="006C0F38">
          <w:rPr>
            <w:webHidden/>
          </w:rPr>
          <w:fldChar w:fldCharType="separate"/>
        </w:r>
        <w:r w:rsidR="006C0F38">
          <w:rPr>
            <w:webHidden/>
          </w:rPr>
          <w:t>11</w:t>
        </w:r>
        <w:r w:rsidR="006C0F38">
          <w:rPr>
            <w:webHidden/>
          </w:rPr>
          <w:fldChar w:fldCharType="end"/>
        </w:r>
      </w:hyperlink>
    </w:p>
    <w:p w14:paraId="1EE46C1D" w14:textId="2AF4C517" w:rsidR="006C0F38" w:rsidRDefault="00326AC7">
      <w:pPr>
        <w:pStyle w:val="TOC2"/>
        <w:rPr>
          <w:rFonts w:asciiTheme="minorHAnsi" w:eastAsiaTheme="minorEastAsia" w:hAnsiTheme="minorHAnsi" w:cstheme="minorBidi"/>
          <w:sz w:val="22"/>
          <w:szCs w:val="22"/>
          <w:lang w:eastAsia="en-AU"/>
        </w:rPr>
      </w:pPr>
      <w:hyperlink w:anchor="_Toc51943054" w:history="1">
        <w:r w:rsidR="006C0F38" w:rsidRPr="00D44990">
          <w:rPr>
            <w:rStyle w:val="Hyperlink"/>
            <w:bCs/>
          </w:rPr>
          <w:t>Priority applications</w:t>
        </w:r>
        <w:r w:rsidR="006C0F38">
          <w:rPr>
            <w:webHidden/>
          </w:rPr>
          <w:tab/>
        </w:r>
        <w:r w:rsidR="006C0F38">
          <w:rPr>
            <w:webHidden/>
          </w:rPr>
          <w:fldChar w:fldCharType="begin"/>
        </w:r>
        <w:r w:rsidR="006C0F38">
          <w:rPr>
            <w:webHidden/>
          </w:rPr>
          <w:instrText xml:space="preserve"> PAGEREF _Toc51943054 \h </w:instrText>
        </w:r>
        <w:r w:rsidR="006C0F38">
          <w:rPr>
            <w:webHidden/>
          </w:rPr>
        </w:r>
        <w:r w:rsidR="006C0F38">
          <w:rPr>
            <w:webHidden/>
          </w:rPr>
          <w:fldChar w:fldCharType="separate"/>
        </w:r>
        <w:r w:rsidR="006C0F38">
          <w:rPr>
            <w:webHidden/>
          </w:rPr>
          <w:t>11</w:t>
        </w:r>
        <w:r w:rsidR="006C0F38">
          <w:rPr>
            <w:webHidden/>
          </w:rPr>
          <w:fldChar w:fldCharType="end"/>
        </w:r>
      </w:hyperlink>
    </w:p>
    <w:p w14:paraId="3C144F0E" w14:textId="6AFCE19E" w:rsidR="006C0F38" w:rsidRDefault="00326AC7">
      <w:pPr>
        <w:pStyle w:val="TOC2"/>
        <w:rPr>
          <w:rFonts w:asciiTheme="minorHAnsi" w:eastAsiaTheme="minorEastAsia" w:hAnsiTheme="minorHAnsi" w:cstheme="minorBidi"/>
          <w:sz w:val="22"/>
          <w:szCs w:val="22"/>
          <w:lang w:eastAsia="en-AU"/>
        </w:rPr>
      </w:pPr>
      <w:hyperlink w:anchor="_Toc51943055" w:history="1">
        <w:r w:rsidR="006C0F38" w:rsidRPr="00D44990">
          <w:rPr>
            <w:rStyle w:val="Hyperlink"/>
          </w:rPr>
          <w:t>Other funding sources, concessions and benefits</w:t>
        </w:r>
        <w:r w:rsidR="006C0F38">
          <w:rPr>
            <w:webHidden/>
          </w:rPr>
          <w:tab/>
        </w:r>
        <w:r w:rsidR="006C0F38">
          <w:rPr>
            <w:webHidden/>
          </w:rPr>
          <w:fldChar w:fldCharType="begin"/>
        </w:r>
        <w:r w:rsidR="006C0F38">
          <w:rPr>
            <w:webHidden/>
          </w:rPr>
          <w:instrText xml:space="preserve"> PAGEREF _Toc51943055 \h </w:instrText>
        </w:r>
        <w:r w:rsidR="006C0F38">
          <w:rPr>
            <w:webHidden/>
          </w:rPr>
        </w:r>
        <w:r w:rsidR="006C0F38">
          <w:rPr>
            <w:webHidden/>
          </w:rPr>
          <w:fldChar w:fldCharType="separate"/>
        </w:r>
        <w:r w:rsidR="006C0F38">
          <w:rPr>
            <w:webHidden/>
          </w:rPr>
          <w:t>12</w:t>
        </w:r>
        <w:r w:rsidR="006C0F38">
          <w:rPr>
            <w:webHidden/>
          </w:rPr>
          <w:fldChar w:fldCharType="end"/>
        </w:r>
      </w:hyperlink>
    </w:p>
    <w:p w14:paraId="7229A09A" w14:textId="158D1F20" w:rsidR="006C0F38" w:rsidRDefault="00326AC7">
      <w:pPr>
        <w:pStyle w:val="TOC1"/>
        <w:rPr>
          <w:rFonts w:asciiTheme="minorHAnsi" w:eastAsiaTheme="minorEastAsia" w:hAnsiTheme="minorHAnsi" w:cstheme="minorBidi"/>
          <w:color w:val="auto"/>
          <w:szCs w:val="22"/>
          <w:lang w:eastAsia="en-AU"/>
        </w:rPr>
      </w:pPr>
      <w:hyperlink w:anchor="_Toc51943056" w:history="1">
        <w:r w:rsidR="006C0F38" w:rsidRPr="00D44990">
          <w:rPr>
            <w:rStyle w:val="Hyperlink"/>
          </w:rPr>
          <w:t>Expenses covered under the fund</w:t>
        </w:r>
        <w:r w:rsidR="006C0F38">
          <w:rPr>
            <w:webHidden/>
          </w:rPr>
          <w:tab/>
        </w:r>
        <w:r w:rsidR="006C0F38">
          <w:rPr>
            <w:webHidden/>
          </w:rPr>
          <w:fldChar w:fldCharType="begin"/>
        </w:r>
        <w:r w:rsidR="006C0F38">
          <w:rPr>
            <w:webHidden/>
          </w:rPr>
          <w:instrText xml:space="preserve"> PAGEREF _Toc51943056 \h </w:instrText>
        </w:r>
        <w:r w:rsidR="006C0F38">
          <w:rPr>
            <w:webHidden/>
          </w:rPr>
        </w:r>
        <w:r w:rsidR="006C0F38">
          <w:rPr>
            <w:webHidden/>
          </w:rPr>
          <w:fldChar w:fldCharType="separate"/>
        </w:r>
        <w:r w:rsidR="006C0F38">
          <w:rPr>
            <w:webHidden/>
          </w:rPr>
          <w:t>13</w:t>
        </w:r>
        <w:r w:rsidR="006C0F38">
          <w:rPr>
            <w:webHidden/>
          </w:rPr>
          <w:fldChar w:fldCharType="end"/>
        </w:r>
      </w:hyperlink>
    </w:p>
    <w:p w14:paraId="42032FF4" w14:textId="4D4BD2BA" w:rsidR="006C0F38" w:rsidRDefault="00326AC7">
      <w:pPr>
        <w:pStyle w:val="TOC2"/>
        <w:rPr>
          <w:rFonts w:asciiTheme="minorHAnsi" w:eastAsiaTheme="minorEastAsia" w:hAnsiTheme="minorHAnsi" w:cstheme="minorBidi"/>
          <w:sz w:val="22"/>
          <w:szCs w:val="22"/>
          <w:lang w:eastAsia="en-AU"/>
        </w:rPr>
      </w:pPr>
      <w:hyperlink w:anchor="_Toc51943057" w:history="1">
        <w:r w:rsidR="006C0F38" w:rsidRPr="00D44990">
          <w:rPr>
            <w:rStyle w:val="Hyperlink"/>
          </w:rPr>
          <w:t>Exclusions</w:t>
        </w:r>
        <w:r w:rsidR="006C0F38">
          <w:rPr>
            <w:webHidden/>
          </w:rPr>
          <w:tab/>
        </w:r>
        <w:r w:rsidR="006C0F38">
          <w:rPr>
            <w:webHidden/>
          </w:rPr>
          <w:fldChar w:fldCharType="begin"/>
        </w:r>
        <w:r w:rsidR="006C0F38">
          <w:rPr>
            <w:webHidden/>
          </w:rPr>
          <w:instrText xml:space="preserve"> PAGEREF _Toc51943057 \h </w:instrText>
        </w:r>
        <w:r w:rsidR="006C0F38">
          <w:rPr>
            <w:webHidden/>
          </w:rPr>
        </w:r>
        <w:r w:rsidR="006C0F38">
          <w:rPr>
            <w:webHidden/>
          </w:rPr>
          <w:fldChar w:fldCharType="separate"/>
        </w:r>
        <w:r w:rsidR="006C0F38">
          <w:rPr>
            <w:webHidden/>
          </w:rPr>
          <w:t>14</w:t>
        </w:r>
        <w:r w:rsidR="006C0F38">
          <w:rPr>
            <w:webHidden/>
          </w:rPr>
          <w:fldChar w:fldCharType="end"/>
        </w:r>
      </w:hyperlink>
    </w:p>
    <w:p w14:paraId="0F536ECC" w14:textId="3DEC9C69" w:rsidR="006C0F38" w:rsidRDefault="00326AC7">
      <w:pPr>
        <w:pStyle w:val="TOC2"/>
        <w:rPr>
          <w:rFonts w:asciiTheme="minorHAnsi" w:eastAsiaTheme="minorEastAsia" w:hAnsiTheme="minorHAnsi" w:cstheme="minorBidi"/>
          <w:sz w:val="22"/>
          <w:szCs w:val="22"/>
          <w:lang w:eastAsia="en-AU"/>
        </w:rPr>
      </w:pPr>
      <w:hyperlink w:anchor="_Toc51943058" w:history="1">
        <w:r w:rsidR="006C0F38" w:rsidRPr="00D44990">
          <w:rPr>
            <w:rStyle w:val="Hyperlink"/>
          </w:rPr>
          <w:t>Assessing requests</w:t>
        </w:r>
        <w:r w:rsidR="006C0F38">
          <w:rPr>
            <w:webHidden/>
          </w:rPr>
          <w:tab/>
        </w:r>
        <w:r w:rsidR="006C0F38">
          <w:rPr>
            <w:webHidden/>
          </w:rPr>
          <w:fldChar w:fldCharType="begin"/>
        </w:r>
        <w:r w:rsidR="006C0F38">
          <w:rPr>
            <w:webHidden/>
          </w:rPr>
          <w:instrText xml:space="preserve"> PAGEREF _Toc51943058 \h </w:instrText>
        </w:r>
        <w:r w:rsidR="006C0F38">
          <w:rPr>
            <w:webHidden/>
          </w:rPr>
        </w:r>
        <w:r w:rsidR="006C0F38">
          <w:rPr>
            <w:webHidden/>
          </w:rPr>
          <w:fldChar w:fldCharType="separate"/>
        </w:r>
        <w:r w:rsidR="006C0F38">
          <w:rPr>
            <w:webHidden/>
          </w:rPr>
          <w:t>14</w:t>
        </w:r>
        <w:r w:rsidR="006C0F38">
          <w:rPr>
            <w:webHidden/>
          </w:rPr>
          <w:fldChar w:fldCharType="end"/>
        </w:r>
      </w:hyperlink>
    </w:p>
    <w:p w14:paraId="0ECE42B5" w14:textId="284B7089" w:rsidR="006C0F38" w:rsidRDefault="00326AC7">
      <w:pPr>
        <w:pStyle w:val="TOC1"/>
        <w:rPr>
          <w:rFonts w:asciiTheme="minorHAnsi" w:eastAsiaTheme="minorEastAsia" w:hAnsiTheme="minorHAnsi" w:cstheme="minorBidi"/>
          <w:color w:val="auto"/>
          <w:szCs w:val="22"/>
          <w:lang w:eastAsia="en-AU"/>
        </w:rPr>
      </w:pPr>
      <w:hyperlink w:anchor="_Toc51943059" w:history="1">
        <w:r w:rsidR="006C0F38" w:rsidRPr="00D44990">
          <w:rPr>
            <w:rStyle w:val="Hyperlink"/>
          </w:rPr>
          <w:t>Payment caps</w:t>
        </w:r>
        <w:r w:rsidR="006C0F38">
          <w:rPr>
            <w:webHidden/>
          </w:rPr>
          <w:tab/>
        </w:r>
        <w:r w:rsidR="006C0F38">
          <w:rPr>
            <w:webHidden/>
          </w:rPr>
          <w:fldChar w:fldCharType="begin"/>
        </w:r>
        <w:r w:rsidR="006C0F38">
          <w:rPr>
            <w:webHidden/>
          </w:rPr>
          <w:instrText xml:space="preserve"> PAGEREF _Toc51943059 \h </w:instrText>
        </w:r>
        <w:r w:rsidR="006C0F38">
          <w:rPr>
            <w:webHidden/>
          </w:rPr>
        </w:r>
        <w:r w:rsidR="006C0F38">
          <w:rPr>
            <w:webHidden/>
          </w:rPr>
          <w:fldChar w:fldCharType="separate"/>
        </w:r>
        <w:r w:rsidR="006C0F38">
          <w:rPr>
            <w:webHidden/>
          </w:rPr>
          <w:t>15</w:t>
        </w:r>
        <w:r w:rsidR="006C0F38">
          <w:rPr>
            <w:webHidden/>
          </w:rPr>
          <w:fldChar w:fldCharType="end"/>
        </w:r>
      </w:hyperlink>
    </w:p>
    <w:p w14:paraId="19E1CEE1" w14:textId="797FB712" w:rsidR="006C0F38" w:rsidRDefault="00326AC7">
      <w:pPr>
        <w:pStyle w:val="TOC2"/>
        <w:rPr>
          <w:rFonts w:asciiTheme="minorHAnsi" w:eastAsiaTheme="minorEastAsia" w:hAnsiTheme="minorHAnsi" w:cstheme="minorBidi"/>
          <w:sz w:val="22"/>
          <w:szCs w:val="22"/>
          <w:lang w:eastAsia="en-AU"/>
        </w:rPr>
      </w:pPr>
      <w:hyperlink w:anchor="_Toc51943060" w:history="1">
        <w:r w:rsidR="006C0F38" w:rsidRPr="00D44990">
          <w:rPr>
            <w:rStyle w:val="Hyperlink"/>
          </w:rPr>
          <w:t>Carer applications</w:t>
        </w:r>
        <w:r w:rsidR="006C0F38">
          <w:rPr>
            <w:webHidden/>
          </w:rPr>
          <w:tab/>
        </w:r>
        <w:r w:rsidR="006C0F38">
          <w:rPr>
            <w:webHidden/>
          </w:rPr>
          <w:fldChar w:fldCharType="begin"/>
        </w:r>
        <w:r w:rsidR="006C0F38">
          <w:rPr>
            <w:webHidden/>
          </w:rPr>
          <w:instrText xml:space="preserve"> PAGEREF _Toc51943060 \h </w:instrText>
        </w:r>
        <w:r w:rsidR="006C0F38">
          <w:rPr>
            <w:webHidden/>
          </w:rPr>
        </w:r>
        <w:r w:rsidR="006C0F38">
          <w:rPr>
            <w:webHidden/>
          </w:rPr>
          <w:fldChar w:fldCharType="separate"/>
        </w:r>
        <w:r w:rsidR="006C0F38">
          <w:rPr>
            <w:webHidden/>
          </w:rPr>
          <w:t>15</w:t>
        </w:r>
        <w:r w:rsidR="006C0F38">
          <w:rPr>
            <w:webHidden/>
          </w:rPr>
          <w:fldChar w:fldCharType="end"/>
        </w:r>
      </w:hyperlink>
    </w:p>
    <w:p w14:paraId="06CA5F44" w14:textId="3119A09B" w:rsidR="006C0F38" w:rsidRDefault="00326AC7">
      <w:pPr>
        <w:pStyle w:val="TOC2"/>
        <w:rPr>
          <w:rFonts w:asciiTheme="minorHAnsi" w:eastAsiaTheme="minorEastAsia" w:hAnsiTheme="minorHAnsi" w:cstheme="minorBidi"/>
          <w:sz w:val="22"/>
          <w:szCs w:val="22"/>
          <w:lang w:eastAsia="en-AU"/>
        </w:rPr>
      </w:pPr>
      <w:hyperlink w:anchor="_Toc51943061" w:history="1">
        <w:r w:rsidR="006C0F38" w:rsidRPr="00D44990">
          <w:rPr>
            <w:rStyle w:val="Hyperlink"/>
          </w:rPr>
          <w:t>Caps on voucher applications</w:t>
        </w:r>
        <w:r w:rsidR="006C0F38">
          <w:rPr>
            <w:webHidden/>
          </w:rPr>
          <w:tab/>
        </w:r>
        <w:r w:rsidR="006C0F38">
          <w:rPr>
            <w:webHidden/>
          </w:rPr>
          <w:fldChar w:fldCharType="begin"/>
        </w:r>
        <w:r w:rsidR="006C0F38">
          <w:rPr>
            <w:webHidden/>
          </w:rPr>
          <w:instrText xml:space="preserve"> PAGEREF _Toc51943061 \h </w:instrText>
        </w:r>
        <w:r w:rsidR="006C0F38">
          <w:rPr>
            <w:webHidden/>
          </w:rPr>
        </w:r>
        <w:r w:rsidR="006C0F38">
          <w:rPr>
            <w:webHidden/>
          </w:rPr>
          <w:fldChar w:fldCharType="separate"/>
        </w:r>
        <w:r w:rsidR="006C0F38">
          <w:rPr>
            <w:webHidden/>
          </w:rPr>
          <w:t>15</w:t>
        </w:r>
        <w:r w:rsidR="006C0F38">
          <w:rPr>
            <w:webHidden/>
          </w:rPr>
          <w:fldChar w:fldCharType="end"/>
        </w:r>
      </w:hyperlink>
    </w:p>
    <w:p w14:paraId="1CB558CC" w14:textId="3054B214" w:rsidR="006C0F38" w:rsidRDefault="00326AC7">
      <w:pPr>
        <w:pStyle w:val="TOC1"/>
        <w:rPr>
          <w:rFonts w:asciiTheme="minorHAnsi" w:eastAsiaTheme="minorEastAsia" w:hAnsiTheme="minorHAnsi" w:cstheme="minorBidi"/>
          <w:color w:val="auto"/>
          <w:szCs w:val="22"/>
          <w:lang w:eastAsia="en-AU"/>
        </w:rPr>
      </w:pPr>
      <w:hyperlink w:anchor="_Toc51943062" w:history="1">
        <w:r w:rsidR="006C0F38" w:rsidRPr="00D44990">
          <w:rPr>
            <w:rStyle w:val="Hyperlink"/>
          </w:rPr>
          <w:t>Voucher policy</w:t>
        </w:r>
        <w:r w:rsidR="006C0F38">
          <w:rPr>
            <w:webHidden/>
          </w:rPr>
          <w:tab/>
        </w:r>
        <w:r w:rsidR="006C0F38">
          <w:rPr>
            <w:webHidden/>
          </w:rPr>
          <w:fldChar w:fldCharType="begin"/>
        </w:r>
        <w:r w:rsidR="006C0F38">
          <w:rPr>
            <w:webHidden/>
          </w:rPr>
          <w:instrText xml:space="preserve"> PAGEREF _Toc51943062 \h </w:instrText>
        </w:r>
        <w:r w:rsidR="006C0F38">
          <w:rPr>
            <w:webHidden/>
          </w:rPr>
        </w:r>
        <w:r w:rsidR="006C0F38">
          <w:rPr>
            <w:webHidden/>
          </w:rPr>
          <w:fldChar w:fldCharType="separate"/>
        </w:r>
        <w:r w:rsidR="006C0F38">
          <w:rPr>
            <w:webHidden/>
          </w:rPr>
          <w:t>16</w:t>
        </w:r>
        <w:r w:rsidR="006C0F38">
          <w:rPr>
            <w:webHidden/>
          </w:rPr>
          <w:fldChar w:fldCharType="end"/>
        </w:r>
      </w:hyperlink>
    </w:p>
    <w:p w14:paraId="741C3A36" w14:textId="7FE2129B" w:rsidR="006C0F38" w:rsidRDefault="00326AC7">
      <w:pPr>
        <w:pStyle w:val="TOC2"/>
        <w:rPr>
          <w:rFonts w:asciiTheme="minorHAnsi" w:eastAsiaTheme="minorEastAsia" w:hAnsiTheme="minorHAnsi" w:cstheme="minorBidi"/>
          <w:sz w:val="22"/>
          <w:szCs w:val="22"/>
          <w:lang w:eastAsia="en-AU"/>
        </w:rPr>
      </w:pPr>
      <w:hyperlink w:anchor="_Toc51943063" w:history="1">
        <w:r w:rsidR="006C0F38" w:rsidRPr="00D44990">
          <w:rPr>
            <w:rStyle w:val="Hyperlink"/>
          </w:rPr>
          <w:t>Voucher applications</w:t>
        </w:r>
        <w:r w:rsidR="006C0F38">
          <w:rPr>
            <w:webHidden/>
          </w:rPr>
          <w:tab/>
        </w:r>
        <w:r w:rsidR="006C0F38">
          <w:rPr>
            <w:webHidden/>
          </w:rPr>
          <w:fldChar w:fldCharType="begin"/>
        </w:r>
        <w:r w:rsidR="006C0F38">
          <w:rPr>
            <w:webHidden/>
          </w:rPr>
          <w:instrText xml:space="preserve"> PAGEREF _Toc51943063 \h </w:instrText>
        </w:r>
        <w:r w:rsidR="006C0F38">
          <w:rPr>
            <w:webHidden/>
          </w:rPr>
        </w:r>
        <w:r w:rsidR="006C0F38">
          <w:rPr>
            <w:webHidden/>
          </w:rPr>
          <w:fldChar w:fldCharType="separate"/>
        </w:r>
        <w:r w:rsidR="006C0F38">
          <w:rPr>
            <w:webHidden/>
          </w:rPr>
          <w:t>16</w:t>
        </w:r>
        <w:r w:rsidR="006C0F38">
          <w:rPr>
            <w:webHidden/>
          </w:rPr>
          <w:fldChar w:fldCharType="end"/>
        </w:r>
      </w:hyperlink>
    </w:p>
    <w:p w14:paraId="79F21AFB" w14:textId="42DB37C4" w:rsidR="006C0F38" w:rsidRDefault="00326AC7">
      <w:pPr>
        <w:pStyle w:val="TOC2"/>
        <w:rPr>
          <w:rFonts w:asciiTheme="minorHAnsi" w:eastAsiaTheme="minorEastAsia" w:hAnsiTheme="minorHAnsi" w:cstheme="minorBidi"/>
          <w:sz w:val="22"/>
          <w:szCs w:val="22"/>
          <w:lang w:eastAsia="en-AU"/>
        </w:rPr>
      </w:pPr>
      <w:hyperlink w:anchor="_Toc51943064" w:history="1">
        <w:r w:rsidR="006C0F38" w:rsidRPr="00D44990">
          <w:rPr>
            <w:rStyle w:val="Hyperlink"/>
          </w:rPr>
          <w:t>Voucher distribution to carers</w:t>
        </w:r>
        <w:r w:rsidR="006C0F38">
          <w:rPr>
            <w:webHidden/>
          </w:rPr>
          <w:tab/>
        </w:r>
        <w:r w:rsidR="006C0F38">
          <w:rPr>
            <w:webHidden/>
          </w:rPr>
          <w:fldChar w:fldCharType="begin"/>
        </w:r>
        <w:r w:rsidR="006C0F38">
          <w:rPr>
            <w:webHidden/>
          </w:rPr>
          <w:instrText xml:space="preserve"> PAGEREF _Toc51943064 \h </w:instrText>
        </w:r>
        <w:r w:rsidR="006C0F38">
          <w:rPr>
            <w:webHidden/>
          </w:rPr>
        </w:r>
        <w:r w:rsidR="006C0F38">
          <w:rPr>
            <w:webHidden/>
          </w:rPr>
          <w:fldChar w:fldCharType="separate"/>
        </w:r>
        <w:r w:rsidR="006C0F38">
          <w:rPr>
            <w:webHidden/>
          </w:rPr>
          <w:t>16</w:t>
        </w:r>
        <w:r w:rsidR="006C0F38">
          <w:rPr>
            <w:webHidden/>
          </w:rPr>
          <w:fldChar w:fldCharType="end"/>
        </w:r>
      </w:hyperlink>
    </w:p>
    <w:p w14:paraId="580208A4" w14:textId="23864A06" w:rsidR="006C0F38" w:rsidRDefault="00326AC7">
      <w:pPr>
        <w:pStyle w:val="TOC2"/>
        <w:rPr>
          <w:rFonts w:asciiTheme="minorHAnsi" w:eastAsiaTheme="minorEastAsia" w:hAnsiTheme="minorHAnsi" w:cstheme="minorBidi"/>
          <w:sz w:val="22"/>
          <w:szCs w:val="22"/>
          <w:lang w:eastAsia="en-AU"/>
        </w:rPr>
      </w:pPr>
      <w:hyperlink w:anchor="_Toc51943065" w:history="1">
        <w:r w:rsidR="006C0F38" w:rsidRPr="00D44990">
          <w:rPr>
            <w:rStyle w:val="Hyperlink"/>
          </w:rPr>
          <w:t>Voucher reporting</w:t>
        </w:r>
        <w:r w:rsidR="006C0F38">
          <w:rPr>
            <w:webHidden/>
          </w:rPr>
          <w:tab/>
        </w:r>
        <w:r w:rsidR="006C0F38">
          <w:rPr>
            <w:webHidden/>
          </w:rPr>
          <w:fldChar w:fldCharType="begin"/>
        </w:r>
        <w:r w:rsidR="006C0F38">
          <w:rPr>
            <w:webHidden/>
          </w:rPr>
          <w:instrText xml:space="preserve"> PAGEREF _Toc51943065 \h </w:instrText>
        </w:r>
        <w:r w:rsidR="006C0F38">
          <w:rPr>
            <w:webHidden/>
          </w:rPr>
        </w:r>
        <w:r w:rsidR="006C0F38">
          <w:rPr>
            <w:webHidden/>
          </w:rPr>
          <w:fldChar w:fldCharType="separate"/>
        </w:r>
        <w:r w:rsidR="006C0F38">
          <w:rPr>
            <w:webHidden/>
          </w:rPr>
          <w:t>16</w:t>
        </w:r>
        <w:r w:rsidR="006C0F38">
          <w:rPr>
            <w:webHidden/>
          </w:rPr>
          <w:fldChar w:fldCharType="end"/>
        </w:r>
      </w:hyperlink>
    </w:p>
    <w:p w14:paraId="61126659" w14:textId="39C8A3F3" w:rsidR="006C0F38" w:rsidRDefault="00326AC7">
      <w:pPr>
        <w:pStyle w:val="TOC2"/>
        <w:rPr>
          <w:rFonts w:asciiTheme="minorHAnsi" w:eastAsiaTheme="minorEastAsia" w:hAnsiTheme="minorHAnsi" w:cstheme="minorBidi"/>
          <w:sz w:val="22"/>
          <w:szCs w:val="22"/>
          <w:lang w:eastAsia="en-AU"/>
        </w:rPr>
      </w:pPr>
      <w:hyperlink w:anchor="_Toc51943066" w:history="1">
        <w:r w:rsidR="006C0F38" w:rsidRPr="00D44990">
          <w:rPr>
            <w:rStyle w:val="Hyperlink"/>
          </w:rPr>
          <w:t>AMHS procedures for processing applications</w:t>
        </w:r>
        <w:r w:rsidR="006C0F38">
          <w:rPr>
            <w:webHidden/>
          </w:rPr>
          <w:tab/>
        </w:r>
        <w:r w:rsidR="006C0F38">
          <w:rPr>
            <w:webHidden/>
          </w:rPr>
          <w:fldChar w:fldCharType="begin"/>
        </w:r>
        <w:r w:rsidR="006C0F38">
          <w:rPr>
            <w:webHidden/>
          </w:rPr>
          <w:instrText xml:space="preserve"> PAGEREF _Toc51943066 \h </w:instrText>
        </w:r>
        <w:r w:rsidR="006C0F38">
          <w:rPr>
            <w:webHidden/>
          </w:rPr>
        </w:r>
        <w:r w:rsidR="006C0F38">
          <w:rPr>
            <w:webHidden/>
          </w:rPr>
          <w:fldChar w:fldCharType="separate"/>
        </w:r>
        <w:r w:rsidR="006C0F38">
          <w:rPr>
            <w:webHidden/>
          </w:rPr>
          <w:t>18</w:t>
        </w:r>
        <w:r w:rsidR="006C0F38">
          <w:rPr>
            <w:webHidden/>
          </w:rPr>
          <w:fldChar w:fldCharType="end"/>
        </w:r>
      </w:hyperlink>
    </w:p>
    <w:p w14:paraId="19ED5E51" w14:textId="51AA9230" w:rsidR="006C0F38" w:rsidRDefault="00326AC7">
      <w:pPr>
        <w:pStyle w:val="TOC2"/>
        <w:rPr>
          <w:rFonts w:asciiTheme="minorHAnsi" w:eastAsiaTheme="minorEastAsia" w:hAnsiTheme="minorHAnsi" w:cstheme="minorBidi"/>
          <w:sz w:val="22"/>
          <w:szCs w:val="22"/>
          <w:lang w:eastAsia="en-AU"/>
        </w:rPr>
      </w:pPr>
      <w:hyperlink w:anchor="_Toc51943067" w:history="1">
        <w:r w:rsidR="006C0F38" w:rsidRPr="00D44990">
          <w:rPr>
            <w:rStyle w:val="Hyperlink"/>
          </w:rPr>
          <w:t>Tandem procedures for processing applications</w:t>
        </w:r>
        <w:r w:rsidR="006C0F38">
          <w:rPr>
            <w:webHidden/>
          </w:rPr>
          <w:tab/>
        </w:r>
        <w:r w:rsidR="006C0F38">
          <w:rPr>
            <w:webHidden/>
          </w:rPr>
          <w:fldChar w:fldCharType="begin"/>
        </w:r>
        <w:r w:rsidR="006C0F38">
          <w:rPr>
            <w:webHidden/>
          </w:rPr>
          <w:instrText xml:space="preserve"> PAGEREF _Toc51943067 \h </w:instrText>
        </w:r>
        <w:r w:rsidR="006C0F38">
          <w:rPr>
            <w:webHidden/>
          </w:rPr>
        </w:r>
        <w:r w:rsidR="006C0F38">
          <w:rPr>
            <w:webHidden/>
          </w:rPr>
          <w:fldChar w:fldCharType="separate"/>
        </w:r>
        <w:r w:rsidR="006C0F38">
          <w:rPr>
            <w:webHidden/>
          </w:rPr>
          <w:t>18</w:t>
        </w:r>
        <w:r w:rsidR="006C0F38">
          <w:rPr>
            <w:webHidden/>
          </w:rPr>
          <w:fldChar w:fldCharType="end"/>
        </w:r>
      </w:hyperlink>
    </w:p>
    <w:p w14:paraId="4248182D" w14:textId="23DDE56D" w:rsidR="006C0F38" w:rsidRDefault="00326AC7">
      <w:pPr>
        <w:pStyle w:val="TOC1"/>
        <w:rPr>
          <w:rFonts w:asciiTheme="minorHAnsi" w:eastAsiaTheme="minorEastAsia" w:hAnsiTheme="minorHAnsi" w:cstheme="minorBidi"/>
          <w:color w:val="auto"/>
          <w:szCs w:val="22"/>
          <w:lang w:eastAsia="en-AU"/>
        </w:rPr>
      </w:pPr>
      <w:hyperlink w:anchor="_Toc51943068" w:history="1">
        <w:r w:rsidR="006C0F38" w:rsidRPr="00D44990">
          <w:rPr>
            <w:rStyle w:val="Hyperlink"/>
          </w:rPr>
          <w:t>Overspend and underspend policy</w:t>
        </w:r>
        <w:r w:rsidR="006C0F38">
          <w:rPr>
            <w:webHidden/>
          </w:rPr>
          <w:tab/>
        </w:r>
        <w:r w:rsidR="006C0F38">
          <w:rPr>
            <w:webHidden/>
          </w:rPr>
          <w:fldChar w:fldCharType="begin"/>
        </w:r>
        <w:r w:rsidR="006C0F38">
          <w:rPr>
            <w:webHidden/>
          </w:rPr>
          <w:instrText xml:space="preserve"> PAGEREF _Toc51943068 \h </w:instrText>
        </w:r>
        <w:r w:rsidR="006C0F38">
          <w:rPr>
            <w:webHidden/>
          </w:rPr>
        </w:r>
        <w:r w:rsidR="006C0F38">
          <w:rPr>
            <w:webHidden/>
          </w:rPr>
          <w:fldChar w:fldCharType="separate"/>
        </w:r>
        <w:r w:rsidR="006C0F38">
          <w:rPr>
            <w:webHidden/>
          </w:rPr>
          <w:t>20</w:t>
        </w:r>
        <w:r w:rsidR="006C0F38">
          <w:rPr>
            <w:webHidden/>
          </w:rPr>
          <w:fldChar w:fldCharType="end"/>
        </w:r>
      </w:hyperlink>
    </w:p>
    <w:p w14:paraId="62D44C83" w14:textId="3FCAD35C" w:rsidR="006C0F38" w:rsidRDefault="00326AC7">
      <w:pPr>
        <w:pStyle w:val="TOC1"/>
        <w:rPr>
          <w:rFonts w:asciiTheme="minorHAnsi" w:eastAsiaTheme="minorEastAsia" w:hAnsiTheme="minorHAnsi" w:cstheme="minorBidi"/>
          <w:color w:val="auto"/>
          <w:szCs w:val="22"/>
          <w:lang w:eastAsia="en-AU"/>
        </w:rPr>
      </w:pPr>
      <w:hyperlink w:anchor="_Toc51943069" w:history="1">
        <w:r w:rsidR="006C0F38" w:rsidRPr="00D44990">
          <w:rPr>
            <w:rStyle w:val="Hyperlink"/>
          </w:rPr>
          <w:t>Complaints policy</w:t>
        </w:r>
        <w:r w:rsidR="006C0F38">
          <w:rPr>
            <w:webHidden/>
          </w:rPr>
          <w:tab/>
        </w:r>
        <w:r w:rsidR="006C0F38">
          <w:rPr>
            <w:webHidden/>
          </w:rPr>
          <w:fldChar w:fldCharType="begin"/>
        </w:r>
        <w:r w:rsidR="006C0F38">
          <w:rPr>
            <w:webHidden/>
          </w:rPr>
          <w:instrText xml:space="preserve"> PAGEREF _Toc51943069 \h </w:instrText>
        </w:r>
        <w:r w:rsidR="006C0F38">
          <w:rPr>
            <w:webHidden/>
          </w:rPr>
        </w:r>
        <w:r w:rsidR="006C0F38">
          <w:rPr>
            <w:webHidden/>
          </w:rPr>
          <w:fldChar w:fldCharType="separate"/>
        </w:r>
        <w:r w:rsidR="006C0F38">
          <w:rPr>
            <w:webHidden/>
          </w:rPr>
          <w:t>21</w:t>
        </w:r>
        <w:r w:rsidR="006C0F38">
          <w:rPr>
            <w:webHidden/>
          </w:rPr>
          <w:fldChar w:fldCharType="end"/>
        </w:r>
      </w:hyperlink>
    </w:p>
    <w:p w14:paraId="05883973" w14:textId="74F61182" w:rsidR="006C0F38" w:rsidRDefault="00326AC7">
      <w:pPr>
        <w:pStyle w:val="TOC1"/>
        <w:rPr>
          <w:rFonts w:asciiTheme="minorHAnsi" w:eastAsiaTheme="minorEastAsia" w:hAnsiTheme="minorHAnsi" w:cstheme="minorBidi"/>
          <w:color w:val="auto"/>
          <w:szCs w:val="22"/>
          <w:lang w:eastAsia="en-AU"/>
        </w:rPr>
      </w:pPr>
      <w:hyperlink w:anchor="_Toc51943070" w:history="1">
        <w:r w:rsidR="006C0F38" w:rsidRPr="00D44990">
          <w:rPr>
            <w:rStyle w:val="Hyperlink"/>
          </w:rPr>
          <w:t>Appendix 1: Voucher distribution record template</w:t>
        </w:r>
        <w:r w:rsidR="006C0F38">
          <w:rPr>
            <w:webHidden/>
          </w:rPr>
          <w:tab/>
        </w:r>
        <w:r w:rsidR="006C0F38">
          <w:rPr>
            <w:webHidden/>
          </w:rPr>
          <w:fldChar w:fldCharType="begin"/>
        </w:r>
        <w:r w:rsidR="006C0F38">
          <w:rPr>
            <w:webHidden/>
          </w:rPr>
          <w:instrText xml:space="preserve"> PAGEREF _Toc51943070 \h </w:instrText>
        </w:r>
        <w:r w:rsidR="006C0F38">
          <w:rPr>
            <w:webHidden/>
          </w:rPr>
        </w:r>
        <w:r w:rsidR="006C0F38">
          <w:rPr>
            <w:webHidden/>
          </w:rPr>
          <w:fldChar w:fldCharType="separate"/>
        </w:r>
        <w:r w:rsidR="006C0F38">
          <w:rPr>
            <w:webHidden/>
          </w:rPr>
          <w:t>22</w:t>
        </w:r>
        <w:r w:rsidR="006C0F38">
          <w:rPr>
            <w:webHidden/>
          </w:rPr>
          <w:fldChar w:fldCharType="end"/>
        </w:r>
      </w:hyperlink>
    </w:p>
    <w:p w14:paraId="5610ADEB" w14:textId="6DB2C986" w:rsidR="006C0F38" w:rsidRDefault="00326AC7">
      <w:pPr>
        <w:pStyle w:val="TOC1"/>
        <w:rPr>
          <w:rFonts w:asciiTheme="minorHAnsi" w:eastAsiaTheme="minorEastAsia" w:hAnsiTheme="minorHAnsi" w:cstheme="minorBidi"/>
          <w:color w:val="auto"/>
          <w:szCs w:val="22"/>
          <w:lang w:eastAsia="en-AU"/>
        </w:rPr>
      </w:pPr>
      <w:hyperlink w:anchor="_Toc51943071" w:history="1">
        <w:r w:rsidR="006C0F38" w:rsidRPr="00D44990">
          <w:rPr>
            <w:rStyle w:val="Hyperlink"/>
          </w:rPr>
          <w:t>Appendix 2: Voucher accountability guide</w:t>
        </w:r>
        <w:r w:rsidR="006C0F38">
          <w:rPr>
            <w:webHidden/>
          </w:rPr>
          <w:tab/>
        </w:r>
        <w:r w:rsidR="006C0F38">
          <w:rPr>
            <w:webHidden/>
          </w:rPr>
          <w:fldChar w:fldCharType="begin"/>
        </w:r>
        <w:r w:rsidR="006C0F38">
          <w:rPr>
            <w:webHidden/>
          </w:rPr>
          <w:instrText xml:space="preserve"> PAGEREF _Toc51943071 \h </w:instrText>
        </w:r>
        <w:r w:rsidR="006C0F38">
          <w:rPr>
            <w:webHidden/>
          </w:rPr>
        </w:r>
        <w:r w:rsidR="006C0F38">
          <w:rPr>
            <w:webHidden/>
          </w:rPr>
          <w:fldChar w:fldCharType="separate"/>
        </w:r>
        <w:r w:rsidR="006C0F38">
          <w:rPr>
            <w:webHidden/>
          </w:rPr>
          <w:t>23</w:t>
        </w:r>
        <w:r w:rsidR="006C0F38">
          <w:rPr>
            <w:webHidden/>
          </w:rPr>
          <w:fldChar w:fldCharType="end"/>
        </w:r>
      </w:hyperlink>
    </w:p>
    <w:p w14:paraId="58ECF29A" w14:textId="78A760DF" w:rsidR="006C0F38" w:rsidRDefault="00326AC7">
      <w:pPr>
        <w:pStyle w:val="TOC1"/>
        <w:rPr>
          <w:rFonts w:asciiTheme="minorHAnsi" w:eastAsiaTheme="minorEastAsia" w:hAnsiTheme="minorHAnsi" w:cstheme="minorBidi"/>
          <w:color w:val="auto"/>
          <w:szCs w:val="22"/>
          <w:lang w:eastAsia="en-AU"/>
        </w:rPr>
      </w:pPr>
      <w:hyperlink w:anchor="_Toc51943072" w:history="1">
        <w:r w:rsidR="006C0F38" w:rsidRPr="00D44990">
          <w:rPr>
            <w:rStyle w:val="Hyperlink"/>
          </w:rPr>
          <w:t>Appendix 3: Transcript of Figure 3</w:t>
        </w:r>
        <w:r w:rsidR="006C0F38">
          <w:rPr>
            <w:webHidden/>
          </w:rPr>
          <w:tab/>
        </w:r>
        <w:r w:rsidR="006C0F38">
          <w:rPr>
            <w:webHidden/>
          </w:rPr>
          <w:fldChar w:fldCharType="begin"/>
        </w:r>
        <w:r w:rsidR="006C0F38">
          <w:rPr>
            <w:webHidden/>
          </w:rPr>
          <w:instrText xml:space="preserve"> PAGEREF _Toc51943072 \h </w:instrText>
        </w:r>
        <w:r w:rsidR="006C0F38">
          <w:rPr>
            <w:webHidden/>
          </w:rPr>
        </w:r>
        <w:r w:rsidR="006C0F38">
          <w:rPr>
            <w:webHidden/>
          </w:rPr>
          <w:fldChar w:fldCharType="separate"/>
        </w:r>
        <w:r w:rsidR="006C0F38">
          <w:rPr>
            <w:webHidden/>
          </w:rPr>
          <w:t>24</w:t>
        </w:r>
        <w:r w:rsidR="006C0F38">
          <w:rPr>
            <w:webHidden/>
          </w:rPr>
          <w:fldChar w:fldCharType="end"/>
        </w:r>
      </w:hyperlink>
    </w:p>
    <w:p w14:paraId="1523DCCF" w14:textId="7A078021" w:rsidR="006C0F38" w:rsidRDefault="00326AC7">
      <w:pPr>
        <w:pStyle w:val="TOC2"/>
        <w:rPr>
          <w:rFonts w:asciiTheme="minorHAnsi" w:eastAsiaTheme="minorEastAsia" w:hAnsiTheme="minorHAnsi" w:cstheme="minorBidi"/>
          <w:sz w:val="22"/>
          <w:szCs w:val="22"/>
          <w:lang w:eastAsia="en-AU"/>
        </w:rPr>
      </w:pPr>
      <w:hyperlink w:anchor="_Toc51943073" w:history="1">
        <w:r w:rsidR="006C0F38" w:rsidRPr="00D44990">
          <w:rPr>
            <w:rStyle w:val="Hyperlink"/>
          </w:rPr>
          <w:t>Required governance arrangements for AMHS (local CSF administrator)</w:t>
        </w:r>
        <w:r w:rsidR="006C0F38">
          <w:rPr>
            <w:webHidden/>
          </w:rPr>
          <w:tab/>
        </w:r>
        <w:r w:rsidR="006C0F38">
          <w:rPr>
            <w:webHidden/>
          </w:rPr>
          <w:fldChar w:fldCharType="begin"/>
        </w:r>
        <w:r w:rsidR="006C0F38">
          <w:rPr>
            <w:webHidden/>
          </w:rPr>
          <w:instrText xml:space="preserve"> PAGEREF _Toc51943073 \h </w:instrText>
        </w:r>
        <w:r w:rsidR="006C0F38">
          <w:rPr>
            <w:webHidden/>
          </w:rPr>
        </w:r>
        <w:r w:rsidR="006C0F38">
          <w:rPr>
            <w:webHidden/>
          </w:rPr>
          <w:fldChar w:fldCharType="separate"/>
        </w:r>
        <w:r w:rsidR="006C0F38">
          <w:rPr>
            <w:webHidden/>
          </w:rPr>
          <w:t>24</w:t>
        </w:r>
        <w:r w:rsidR="006C0F38">
          <w:rPr>
            <w:webHidden/>
          </w:rPr>
          <w:fldChar w:fldCharType="end"/>
        </w:r>
      </w:hyperlink>
    </w:p>
    <w:p w14:paraId="34891F5E" w14:textId="1BDAA307" w:rsidR="003E2E12" w:rsidRPr="00B76A81" w:rsidRDefault="00E15DA9" w:rsidP="00213772">
      <w:pPr>
        <w:pStyle w:val="TOC2"/>
        <w:rPr>
          <w:noProof w:val="0"/>
        </w:rPr>
      </w:pPr>
      <w:r w:rsidRPr="00B76A81">
        <w:rPr>
          <w:noProof w:val="0"/>
        </w:rPr>
        <w:fldChar w:fldCharType="end"/>
      </w:r>
    </w:p>
    <w:p w14:paraId="0B8517CB" w14:textId="77777777" w:rsidR="00AC0C3B" w:rsidRPr="00B76A81" w:rsidRDefault="003E2E12" w:rsidP="00256E7C">
      <w:pPr>
        <w:pStyle w:val="DHHSbody"/>
      </w:pPr>
      <w:r w:rsidRPr="00B76A81">
        <w:br w:type="page"/>
      </w:r>
    </w:p>
    <w:p w14:paraId="0BEE7488" w14:textId="77777777" w:rsidR="00256E7C" w:rsidRPr="00B76A81" w:rsidRDefault="00256E7C" w:rsidP="00E91933">
      <w:pPr>
        <w:pStyle w:val="DHHSbody"/>
      </w:pPr>
    </w:p>
    <w:p w14:paraId="55F93835" w14:textId="77777777" w:rsidR="00AC0C3B" w:rsidRPr="00B76A81" w:rsidRDefault="00AC0C3B" w:rsidP="00E91933">
      <w:pPr>
        <w:pStyle w:val="DHHSbody"/>
        <w:sectPr w:rsidR="00AC0C3B" w:rsidRPr="00B76A81" w:rsidSect="00742D07">
          <w:pgSz w:w="11906" w:h="16838" w:code="9"/>
          <w:pgMar w:top="1701" w:right="1304" w:bottom="1418" w:left="1304" w:header="851" w:footer="851" w:gutter="0"/>
          <w:cols w:space="720"/>
          <w:docGrid w:linePitch="360"/>
        </w:sectPr>
      </w:pPr>
    </w:p>
    <w:p w14:paraId="060CE0FE" w14:textId="1C575DD6" w:rsidR="006F525F" w:rsidRPr="00B76A81" w:rsidRDefault="006F525F" w:rsidP="00E4171E">
      <w:pPr>
        <w:pStyle w:val="Heading1"/>
        <w:spacing w:before="0"/>
      </w:pPr>
      <w:bookmarkStart w:id="1" w:name="_Toc51943044"/>
      <w:bookmarkStart w:id="2" w:name="_Toc474164908"/>
      <w:bookmarkStart w:id="3" w:name="_Toc45285650"/>
      <w:r w:rsidRPr="00B76A81">
        <w:lastRenderedPageBreak/>
        <w:t>Carer Support Fund overview</w:t>
      </w:r>
      <w:bookmarkEnd w:id="1"/>
    </w:p>
    <w:p w14:paraId="463D60C1" w14:textId="0B4516C9" w:rsidR="0059286E" w:rsidRPr="00B76A81" w:rsidRDefault="006F525F" w:rsidP="006F525F">
      <w:pPr>
        <w:pStyle w:val="Heading2"/>
      </w:pPr>
      <w:bookmarkStart w:id="4" w:name="_Toc51943045"/>
      <w:r w:rsidRPr="00B76A81">
        <w:t>A</w:t>
      </w:r>
      <w:r w:rsidR="0059286E" w:rsidRPr="00B76A81">
        <w:t>im</w:t>
      </w:r>
      <w:bookmarkEnd w:id="2"/>
      <w:bookmarkEnd w:id="3"/>
      <w:bookmarkEnd w:id="4"/>
    </w:p>
    <w:p w14:paraId="3BB5AA26" w14:textId="2B8ACB18" w:rsidR="0059286E" w:rsidRPr="00B76A81" w:rsidRDefault="0059286E" w:rsidP="0059286E">
      <w:pPr>
        <w:pStyle w:val="DHHSbody"/>
      </w:pPr>
      <w:r w:rsidRPr="00B76A81">
        <w:t xml:space="preserve">The aim of the </w:t>
      </w:r>
      <w:r w:rsidR="009346AC">
        <w:t xml:space="preserve">Mental Health </w:t>
      </w:r>
      <w:r w:rsidRPr="00B76A81">
        <w:t xml:space="preserve">Carer Support Fund (CSF) is to </w:t>
      </w:r>
      <w:r w:rsidR="006B0EB6" w:rsidRPr="00B76A81">
        <w:t xml:space="preserve">help </w:t>
      </w:r>
      <w:r w:rsidRPr="00B76A81">
        <w:t>carers</w:t>
      </w:r>
      <w:r w:rsidRPr="00B25021">
        <w:rPr>
          <w:rStyle w:val="FootnoteReference"/>
          <w:rFonts w:cs="Arial"/>
          <w:position w:val="10"/>
          <w:sz w:val="13"/>
          <w:szCs w:val="13"/>
          <w:vertAlign w:val="baseline"/>
        </w:rPr>
        <w:footnoteReference w:id="1"/>
      </w:r>
      <w:r w:rsidRPr="00B76A81">
        <w:rPr>
          <w:position w:val="10"/>
          <w:sz w:val="13"/>
          <w:szCs w:val="13"/>
        </w:rPr>
        <w:t xml:space="preserve"> </w:t>
      </w:r>
      <w:r w:rsidRPr="00B76A81">
        <w:t xml:space="preserve">in their role of caring for a person who is receiving services from </w:t>
      </w:r>
      <w:r w:rsidR="007C144C" w:rsidRPr="00B76A81">
        <w:t xml:space="preserve">a </w:t>
      </w:r>
      <w:r w:rsidRPr="00B76A81">
        <w:t>public area mental health service</w:t>
      </w:r>
      <w:r w:rsidR="007C144C" w:rsidRPr="00B76A81">
        <w:t xml:space="preserve"> (</w:t>
      </w:r>
      <w:r w:rsidR="00F81623" w:rsidRPr="00B76A81">
        <w:t>AMHS</w:t>
      </w:r>
      <w:r w:rsidR="007C144C" w:rsidRPr="00B76A81">
        <w:t>)</w:t>
      </w:r>
      <w:r w:rsidRPr="00B76A81">
        <w:t xml:space="preserve"> in Victoria.</w:t>
      </w:r>
    </w:p>
    <w:p w14:paraId="434D4C12" w14:textId="7AFA6DFC" w:rsidR="0059286E" w:rsidRPr="00B76A81" w:rsidRDefault="006F525F" w:rsidP="006F525F">
      <w:pPr>
        <w:pStyle w:val="Heading2"/>
      </w:pPr>
      <w:bookmarkStart w:id="5" w:name="_Toc474164909"/>
      <w:bookmarkStart w:id="6" w:name="_Toc45285651"/>
      <w:bookmarkStart w:id="7" w:name="_Toc51943046"/>
      <w:r w:rsidRPr="00B76A81">
        <w:t>O</w:t>
      </w:r>
      <w:r w:rsidR="0059286E" w:rsidRPr="00B76A81">
        <w:t>bjective</w:t>
      </w:r>
      <w:bookmarkEnd w:id="5"/>
      <w:bookmarkEnd w:id="6"/>
      <w:bookmarkEnd w:id="7"/>
    </w:p>
    <w:p w14:paraId="5099404D" w14:textId="41405D79" w:rsidR="006B0EB6" w:rsidRPr="00B76A81" w:rsidRDefault="0059286E" w:rsidP="0059286E">
      <w:pPr>
        <w:pStyle w:val="DHHSbody"/>
      </w:pPr>
      <w:r w:rsidRPr="00B76A81">
        <w:t xml:space="preserve">The </w:t>
      </w:r>
      <w:r w:rsidR="006B0EB6" w:rsidRPr="00B76A81">
        <w:t>CSF</w:t>
      </w:r>
      <w:r w:rsidRPr="00B76A81">
        <w:t xml:space="preserve"> will assist carers by providing financial support to</w:t>
      </w:r>
      <w:r w:rsidR="006B0EB6" w:rsidRPr="00B76A81">
        <w:t>:</w:t>
      </w:r>
      <w:r w:rsidRPr="00B76A81">
        <w:t xml:space="preserve"> </w:t>
      </w:r>
    </w:p>
    <w:p w14:paraId="3CEBA424" w14:textId="5D4ED14F" w:rsidR="006B0EB6" w:rsidRPr="00B76A81" w:rsidRDefault="0059286E" w:rsidP="00B25021">
      <w:pPr>
        <w:pStyle w:val="DHHSbullet1"/>
      </w:pPr>
      <w:r w:rsidRPr="00B76A81">
        <w:t>reduce the costs associated with the caring role</w:t>
      </w:r>
    </w:p>
    <w:p w14:paraId="076C2755" w14:textId="33C0A22F" w:rsidR="0059286E" w:rsidRPr="00B76A81" w:rsidRDefault="0059286E" w:rsidP="00B25021">
      <w:pPr>
        <w:pStyle w:val="DHHSbullet1"/>
      </w:pPr>
      <w:r w:rsidRPr="00B76A81">
        <w:t>support the carer’s own health and wellbeing.</w:t>
      </w:r>
    </w:p>
    <w:p w14:paraId="5B2DA4B8" w14:textId="001AC0CA" w:rsidR="0059286E" w:rsidRPr="00B76A81" w:rsidRDefault="006F525F" w:rsidP="006F525F">
      <w:pPr>
        <w:pStyle w:val="Heading2"/>
      </w:pPr>
      <w:bookmarkStart w:id="8" w:name="_Toc474164910"/>
      <w:bookmarkStart w:id="9" w:name="_Toc45285652"/>
      <w:bookmarkStart w:id="10" w:name="_Toc51943047"/>
      <w:r w:rsidRPr="00B76A81">
        <w:t>G</w:t>
      </w:r>
      <w:r w:rsidR="0059286E" w:rsidRPr="00B76A81">
        <w:t>overnance</w:t>
      </w:r>
      <w:bookmarkEnd w:id="8"/>
      <w:bookmarkEnd w:id="9"/>
      <w:bookmarkEnd w:id="10"/>
    </w:p>
    <w:p w14:paraId="01151392" w14:textId="38E26007" w:rsidR="0059286E" w:rsidRPr="00B76A81" w:rsidRDefault="0059286E" w:rsidP="0059286E">
      <w:pPr>
        <w:pStyle w:val="DHHSbody"/>
      </w:pPr>
      <w:r w:rsidRPr="00B76A81">
        <w:t xml:space="preserve">Figure 1 outlines the CSF’s governance structure. Within this structure, carers </w:t>
      </w:r>
      <w:r w:rsidR="006B0EB6" w:rsidRPr="00B76A81">
        <w:t>receive</w:t>
      </w:r>
      <w:r w:rsidRPr="00B76A81">
        <w:t xml:space="preserve"> CSF financial support. AMHS, as local CSF administrators, submit online applications on behalf of carers (with their involvement). The central CSF administrator processes these applications and distributes financial support.</w:t>
      </w:r>
    </w:p>
    <w:p w14:paraId="209C6AA8" w14:textId="77777777" w:rsidR="0059286E" w:rsidRPr="00B76A81" w:rsidRDefault="0059286E" w:rsidP="0059286E">
      <w:pPr>
        <w:pStyle w:val="DHHSfigurecaption"/>
        <w:rPr>
          <w:position w:val="-1"/>
        </w:rPr>
      </w:pPr>
      <w:r w:rsidRPr="00B76A81">
        <w:t>Figure 1: Structure of the Carer Support Fund</w:t>
      </w:r>
    </w:p>
    <w:p w14:paraId="2BB485BA" w14:textId="77777777" w:rsidR="0059286E" w:rsidRPr="00B76A81" w:rsidRDefault="0059286E" w:rsidP="004C48DD">
      <w:pPr>
        <w:pStyle w:val="DHHSbody"/>
      </w:pPr>
      <w:r w:rsidRPr="00B76A81">
        <w:rPr>
          <w:noProof/>
          <w:lang w:eastAsia="en-AU"/>
        </w:rPr>
        <w:drawing>
          <wp:inline distT="0" distB="0" distL="0" distR="0" wp14:anchorId="125B8609" wp14:editId="21DDE697">
            <wp:extent cx="5332021" cy="4610220"/>
            <wp:effectExtent l="0" t="0" r="2540" b="0"/>
            <wp:docPr id="4" name="Picture 4" descr="The diagram outlines the governance structure of the Carer Support Fund. Within this structure, carers are the recipients of CSF financial support. AMHS, as local CSF administrators, submit online applications on behalf of carers (with their involvement). The central CSF administrator processes these applications and distributes financial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agram outlines the governance structure of the Carer Support Fund. Within this structure, carers are the recipients of CSF financial support. Area Mental Health Services (AMHS), as local CSF administrators, submit online applications on behalf of carers (with their involvement). The central CSF administrator processes these applications and distributes financial support."/>
                    <pic:cNvPicPr>
                      <a:picLocks noChangeAspect="1" noChangeArrowheads="1"/>
                    </pic:cNvPicPr>
                  </pic:nvPicPr>
                  <pic:blipFill>
                    <a:blip r:embed="rId20"/>
                    <a:stretch>
                      <a:fillRect/>
                    </a:stretch>
                  </pic:blipFill>
                  <pic:spPr bwMode="auto">
                    <a:xfrm>
                      <a:off x="0" y="0"/>
                      <a:ext cx="5347759" cy="4623827"/>
                    </a:xfrm>
                    <a:prstGeom prst="rect">
                      <a:avLst/>
                    </a:prstGeom>
                    <a:noFill/>
                    <a:ln>
                      <a:noFill/>
                    </a:ln>
                  </pic:spPr>
                </pic:pic>
              </a:graphicData>
            </a:graphic>
          </wp:inline>
        </w:drawing>
      </w:r>
    </w:p>
    <w:p w14:paraId="477AF59E" w14:textId="5F8AC136" w:rsidR="0059286E" w:rsidRPr="00B76A81" w:rsidRDefault="006F525F" w:rsidP="006F525F">
      <w:pPr>
        <w:pStyle w:val="Heading2"/>
      </w:pPr>
      <w:bookmarkStart w:id="11" w:name="_Toc474164911"/>
      <w:bookmarkStart w:id="12" w:name="_Toc45285653"/>
      <w:bookmarkStart w:id="13" w:name="_Toc51943048"/>
      <w:r w:rsidRPr="00B76A81">
        <w:lastRenderedPageBreak/>
        <w:t>R</w:t>
      </w:r>
      <w:r w:rsidR="0059286E" w:rsidRPr="00B76A81">
        <w:t>oles and responsibilities</w:t>
      </w:r>
      <w:bookmarkEnd w:id="11"/>
      <w:bookmarkEnd w:id="12"/>
      <w:bookmarkEnd w:id="13"/>
    </w:p>
    <w:p w14:paraId="532D83B4" w14:textId="1FA31DBB" w:rsidR="0059286E" w:rsidRPr="00B76A81" w:rsidRDefault="0059286E" w:rsidP="0059286E">
      <w:pPr>
        <w:pStyle w:val="DHHSbody"/>
      </w:pPr>
      <w:r w:rsidRPr="00B76A81">
        <w:t xml:space="preserve">The four key parties </w:t>
      </w:r>
      <w:r w:rsidR="002C3986" w:rsidRPr="00B76A81">
        <w:t xml:space="preserve">of the CSF </w:t>
      </w:r>
      <w:r w:rsidRPr="00B76A81">
        <w:t>are:</w:t>
      </w:r>
    </w:p>
    <w:p w14:paraId="142275B2" w14:textId="77777777" w:rsidR="0059286E" w:rsidRPr="00B76A81" w:rsidRDefault="0059286E" w:rsidP="0059286E">
      <w:pPr>
        <w:pStyle w:val="DHHSbullet1"/>
      </w:pPr>
      <w:r w:rsidRPr="00B76A81">
        <w:t>AMHS (as local CSF administrators)</w:t>
      </w:r>
    </w:p>
    <w:p w14:paraId="0909F752" w14:textId="5158B580" w:rsidR="0059286E" w:rsidRPr="00B76A81" w:rsidRDefault="0059286E" w:rsidP="0059286E">
      <w:pPr>
        <w:pStyle w:val="DHHSbullet1"/>
      </w:pPr>
      <w:r w:rsidRPr="00B76A81">
        <w:t xml:space="preserve">Tandem (as </w:t>
      </w:r>
      <w:r w:rsidR="002C3986" w:rsidRPr="00B76A81">
        <w:t xml:space="preserve">the </w:t>
      </w:r>
      <w:r w:rsidRPr="00B76A81">
        <w:t>central CSF administrator)</w:t>
      </w:r>
    </w:p>
    <w:p w14:paraId="5E61CD78" w14:textId="77777777" w:rsidR="0059286E" w:rsidRPr="00B76A81" w:rsidRDefault="0059286E" w:rsidP="0059286E">
      <w:pPr>
        <w:pStyle w:val="DHHSbullet1"/>
      </w:pPr>
      <w:r w:rsidRPr="00B76A81">
        <w:t>the Independent CSF Advisory Group</w:t>
      </w:r>
    </w:p>
    <w:p w14:paraId="691455C6" w14:textId="23F3A345" w:rsidR="0059286E" w:rsidRPr="00B76A81" w:rsidRDefault="0059286E" w:rsidP="0059286E">
      <w:pPr>
        <w:pStyle w:val="DHHSbullet1"/>
      </w:pPr>
      <w:r w:rsidRPr="00B76A81">
        <w:t>the Department of Health and Human Services</w:t>
      </w:r>
      <w:r w:rsidR="007111E3" w:rsidRPr="00B76A81">
        <w:t>.</w:t>
      </w:r>
    </w:p>
    <w:p w14:paraId="5D8D2FA3" w14:textId="6AFCAC09" w:rsidR="0059286E" w:rsidRPr="00B76A81" w:rsidRDefault="0059286E" w:rsidP="00B25021">
      <w:pPr>
        <w:pStyle w:val="DHHSbodyafterbullets"/>
      </w:pPr>
      <w:r w:rsidRPr="00B76A81">
        <w:rPr>
          <w:rStyle w:val="Strong"/>
        </w:rPr>
        <w:t>AMHS</w:t>
      </w:r>
      <w:r w:rsidRPr="00B76A81">
        <w:t xml:space="preserve">, as local CSF administrators, are responsible </w:t>
      </w:r>
      <w:r w:rsidRPr="00B76A81">
        <w:rPr>
          <w:w w:val="99"/>
        </w:rPr>
        <w:t>for</w:t>
      </w:r>
      <w:r w:rsidR="002C3986" w:rsidRPr="00B76A81">
        <w:t xml:space="preserve"> </w:t>
      </w:r>
      <w:r w:rsidRPr="00B76A81">
        <w:t>establishing an internal committee of registered CSF approvers</w:t>
      </w:r>
      <w:r w:rsidR="002C3986" w:rsidRPr="00B76A81">
        <w:t>. This committee</w:t>
      </w:r>
      <w:r w:rsidRPr="00B76A81">
        <w:t xml:space="preserve"> is led by a coordinator and includes carer consultants to:</w:t>
      </w:r>
    </w:p>
    <w:p w14:paraId="0C69727C" w14:textId="2CCDA788" w:rsidR="0059286E" w:rsidRPr="00B76A81" w:rsidRDefault="0059286E" w:rsidP="0059286E">
      <w:pPr>
        <w:pStyle w:val="DHHSbullet1"/>
      </w:pPr>
      <w:r w:rsidRPr="00B76A81">
        <w:t>raise awareness of the CSF among mental health staff, carer consultants and carers</w:t>
      </w:r>
    </w:p>
    <w:p w14:paraId="4459B299" w14:textId="7A60BBFE" w:rsidR="0059286E" w:rsidRPr="00B76A81" w:rsidRDefault="0059286E" w:rsidP="0059286E">
      <w:pPr>
        <w:pStyle w:val="DHHSbullet1"/>
      </w:pPr>
      <w:r w:rsidRPr="00B76A81">
        <w:t xml:space="preserve">assist case managers and other AMHS staff with </w:t>
      </w:r>
      <w:r w:rsidR="002C3986" w:rsidRPr="00B76A81">
        <w:t xml:space="preserve">the </w:t>
      </w:r>
      <w:r w:rsidRPr="00B76A81">
        <w:t>registration process</w:t>
      </w:r>
    </w:p>
    <w:p w14:paraId="40257039" w14:textId="5425C016" w:rsidR="0059286E" w:rsidRPr="00B76A81" w:rsidRDefault="0059286E" w:rsidP="0059286E">
      <w:pPr>
        <w:pStyle w:val="DHHSbullet1"/>
      </w:pPr>
      <w:r w:rsidRPr="00B76A81">
        <w:t>review and monitor CSF applications, approvals and expenditure</w:t>
      </w:r>
    </w:p>
    <w:p w14:paraId="774F0FF9" w14:textId="7C8C37E7" w:rsidR="0059286E" w:rsidRPr="00B76A81" w:rsidRDefault="0059286E" w:rsidP="0059286E">
      <w:pPr>
        <w:pStyle w:val="DHHSbullet1"/>
      </w:pPr>
      <w:r w:rsidRPr="00B76A81">
        <w:t xml:space="preserve">inform the CSF central administrator </w:t>
      </w:r>
      <w:r w:rsidR="002C3986" w:rsidRPr="00B76A81">
        <w:t>about</w:t>
      </w:r>
      <w:r w:rsidRPr="00B76A81">
        <w:t xml:space="preserve"> budget </w:t>
      </w:r>
      <w:r w:rsidR="002C3986" w:rsidRPr="00B76A81">
        <w:t xml:space="preserve">issues </w:t>
      </w:r>
      <w:r w:rsidRPr="00B76A81">
        <w:t xml:space="preserve">or </w:t>
      </w:r>
      <w:r w:rsidR="002C3986" w:rsidRPr="00B76A81">
        <w:t xml:space="preserve">if </w:t>
      </w:r>
      <w:r w:rsidRPr="00B76A81">
        <w:t xml:space="preserve">the AMHS </w:t>
      </w:r>
      <w:r w:rsidR="002C3986" w:rsidRPr="00B76A81">
        <w:t xml:space="preserve">anticipates </w:t>
      </w:r>
      <w:r w:rsidRPr="00B76A81">
        <w:t>restrictions on applications as a result of budget shortage</w:t>
      </w:r>
    </w:p>
    <w:p w14:paraId="2F24B86C" w14:textId="0573337D" w:rsidR="0059286E" w:rsidRPr="00B76A81" w:rsidRDefault="0059286E" w:rsidP="0059286E">
      <w:pPr>
        <w:pStyle w:val="DHHSbullet1"/>
      </w:pPr>
      <w:r w:rsidRPr="00B76A81">
        <w:t>maintain an electronic voucher distribution record (see Appendix 1)</w:t>
      </w:r>
    </w:p>
    <w:p w14:paraId="2EC3CF8B" w14:textId="31C4776B" w:rsidR="0059286E" w:rsidRPr="00B76A81" w:rsidRDefault="0059286E" w:rsidP="0059286E">
      <w:pPr>
        <w:pStyle w:val="DHHSbullet1"/>
      </w:pPr>
      <w:r w:rsidRPr="00B76A81">
        <w:t xml:space="preserve">establish a local appeal process at the AMHS consistent with </w:t>
      </w:r>
      <w:r w:rsidR="002C3986" w:rsidRPr="00B76A81">
        <w:t xml:space="preserve">the </w:t>
      </w:r>
      <w:r w:rsidRPr="00B76A81">
        <w:t>CSF guidelines, and process external appeals through Tandem, as appropriate</w:t>
      </w:r>
    </w:p>
    <w:p w14:paraId="28FDC5D7" w14:textId="7E27F83E" w:rsidR="0059286E" w:rsidRPr="00B76A81" w:rsidRDefault="0059286E" w:rsidP="0059286E">
      <w:pPr>
        <w:pStyle w:val="DHHSbullet1"/>
      </w:pPr>
      <w:r w:rsidRPr="00B76A81">
        <w:t>provide support to carers to engage in the CSF application process</w:t>
      </w:r>
    </w:p>
    <w:p w14:paraId="2A9B8161" w14:textId="2A499A52" w:rsidR="0059286E" w:rsidRPr="00B76A81" w:rsidRDefault="0059286E" w:rsidP="0059286E">
      <w:pPr>
        <w:pStyle w:val="DHHSbullet1"/>
      </w:pPr>
      <w:r w:rsidRPr="00B76A81">
        <w:t>promote the online CSF application system</w:t>
      </w:r>
    </w:p>
    <w:p w14:paraId="2ABF2987" w14:textId="55C62D33" w:rsidR="0059286E" w:rsidRPr="00B76A81" w:rsidRDefault="0059286E" w:rsidP="0059286E">
      <w:pPr>
        <w:pStyle w:val="DHHSbullet1"/>
      </w:pPr>
      <w:r w:rsidRPr="00B76A81">
        <w:t>ensure compliance with CSF guidelines</w:t>
      </w:r>
    </w:p>
    <w:p w14:paraId="02A8D7DE" w14:textId="64B209F0" w:rsidR="0059286E" w:rsidRPr="00B76A81" w:rsidRDefault="0059286E" w:rsidP="0059286E">
      <w:pPr>
        <w:pStyle w:val="DHHSbullet1"/>
      </w:pPr>
      <w:r w:rsidRPr="00B76A81">
        <w:t xml:space="preserve">inform the central CSF administrator (Tandem) of relevant CSF contacts at the AMHS (that is, the CSF coordinator and registered CSF approvers) and maintain </w:t>
      </w:r>
      <w:r w:rsidR="00D87038" w:rsidRPr="00B76A81">
        <w:t>a</w:t>
      </w:r>
      <w:r w:rsidRPr="00B76A81">
        <w:t xml:space="preserve"> list of approvers</w:t>
      </w:r>
    </w:p>
    <w:p w14:paraId="226E1F7D" w14:textId="49A8A413" w:rsidR="0059286E" w:rsidRPr="00B76A81" w:rsidRDefault="0059286E" w:rsidP="0059286E">
      <w:pPr>
        <w:pStyle w:val="DHHSbullet1"/>
      </w:pPr>
      <w:r w:rsidRPr="00B76A81">
        <w:t>ensure carer consultants are involved in the management, decision making and administration of the CSF committee.</w:t>
      </w:r>
    </w:p>
    <w:p w14:paraId="1AA287F7" w14:textId="77777777" w:rsidR="0059286E" w:rsidRPr="00B76A81" w:rsidRDefault="0059286E" w:rsidP="007B6284">
      <w:pPr>
        <w:pStyle w:val="DHHSbodyafterbullets"/>
      </w:pPr>
      <w:r w:rsidRPr="00B76A81">
        <w:rPr>
          <w:rStyle w:val="Strong"/>
        </w:rPr>
        <w:t>Tandem</w:t>
      </w:r>
      <w:r w:rsidRPr="00B76A81">
        <w:t>, as central administrator of the CSF, is responsible for:</w:t>
      </w:r>
    </w:p>
    <w:p w14:paraId="6846C50D" w14:textId="77777777" w:rsidR="0059286E" w:rsidRPr="00B76A81" w:rsidRDefault="0059286E" w:rsidP="0059286E">
      <w:pPr>
        <w:pStyle w:val="DHHSbullet1"/>
      </w:pPr>
      <w:r w:rsidRPr="00B76A81">
        <w:t xml:space="preserve">administering the CSF equitably, responsibly and transparently, in accordance with </w:t>
      </w:r>
      <w:r w:rsidRPr="00B76A81">
        <w:rPr>
          <w:b/>
        </w:rPr>
        <w:t>the</w:t>
      </w:r>
      <w:r w:rsidRPr="00B76A81">
        <w:t xml:space="preserve"> </w:t>
      </w:r>
      <w:r w:rsidRPr="00B76A81">
        <w:rPr>
          <w:rStyle w:val="Strong"/>
        </w:rPr>
        <w:t>department’s</w:t>
      </w:r>
      <w:r w:rsidRPr="00B76A81">
        <w:t xml:space="preserve"> CSF guidelines</w:t>
      </w:r>
    </w:p>
    <w:p w14:paraId="7E027802" w14:textId="77777777" w:rsidR="0059286E" w:rsidRPr="00B76A81" w:rsidRDefault="0059286E" w:rsidP="0059286E">
      <w:pPr>
        <w:pStyle w:val="DHHSbullet1"/>
      </w:pPr>
      <w:r w:rsidRPr="00B76A81">
        <w:t>coordinating, chairing and minuting quarterly Independent CSF Advisory Group meetings</w:t>
      </w:r>
    </w:p>
    <w:p w14:paraId="3FC2E155" w14:textId="77777777" w:rsidR="0059286E" w:rsidRPr="00B76A81" w:rsidRDefault="0059286E" w:rsidP="0059286E">
      <w:pPr>
        <w:pStyle w:val="DHHSbullet1"/>
      </w:pPr>
      <w:r w:rsidRPr="00B76A81">
        <w:t>supporting independent CSF appeal processes via the advisory group</w:t>
      </w:r>
    </w:p>
    <w:p w14:paraId="324B566B" w14:textId="77777777" w:rsidR="0059286E" w:rsidRPr="00B76A81" w:rsidRDefault="0059286E" w:rsidP="0059286E">
      <w:pPr>
        <w:pStyle w:val="DHHSbullet1"/>
      </w:pPr>
      <w:r w:rsidRPr="00B76A81">
        <w:t>ensuring appropriate representation on the advisory group</w:t>
      </w:r>
    </w:p>
    <w:p w14:paraId="0F3F06DD" w14:textId="4BBF901D" w:rsidR="0059286E" w:rsidRPr="00B76A81" w:rsidRDefault="0059286E" w:rsidP="0059286E">
      <w:pPr>
        <w:pStyle w:val="DHHSbullet1"/>
      </w:pPr>
      <w:r w:rsidRPr="00B76A81">
        <w:t>identifying and addressing gaps in promoti</w:t>
      </w:r>
      <w:r w:rsidR="00D87038" w:rsidRPr="00B76A81">
        <w:t>ng</w:t>
      </w:r>
      <w:r w:rsidRPr="00B76A81">
        <w:t xml:space="preserve"> the CSF to carers, carer consultants and AMHS</w:t>
      </w:r>
    </w:p>
    <w:p w14:paraId="7FF70467" w14:textId="0F088094" w:rsidR="0059286E" w:rsidRPr="00B76A81" w:rsidRDefault="0059286E" w:rsidP="0059286E">
      <w:pPr>
        <w:pStyle w:val="DHHSbullet1"/>
      </w:pPr>
      <w:r w:rsidRPr="00B76A81">
        <w:t xml:space="preserve">timely communication with AMHS </w:t>
      </w:r>
      <w:r w:rsidR="00D87038" w:rsidRPr="00B76A81">
        <w:t xml:space="preserve">about </w:t>
      </w:r>
      <w:r w:rsidRPr="00B76A81">
        <w:t>annual CSF allocations</w:t>
      </w:r>
    </w:p>
    <w:p w14:paraId="4270E57E" w14:textId="6D2B429B" w:rsidR="0059286E" w:rsidRPr="00B76A81" w:rsidRDefault="0059286E" w:rsidP="0059286E">
      <w:pPr>
        <w:pStyle w:val="DHHSbullet1"/>
      </w:pPr>
      <w:r w:rsidRPr="00B76A81">
        <w:t xml:space="preserve">supporting Victorian AMHS to implement the CSF, including registering AMHS staff to prepare an application and training </w:t>
      </w:r>
      <w:r w:rsidR="00D87038" w:rsidRPr="00B76A81">
        <w:t xml:space="preserve">to </w:t>
      </w:r>
      <w:r w:rsidRPr="00B76A81">
        <w:t>use the online CSF application</w:t>
      </w:r>
    </w:p>
    <w:p w14:paraId="0020F934" w14:textId="3BA4E233" w:rsidR="0059286E" w:rsidRPr="00B76A81" w:rsidRDefault="0059286E" w:rsidP="0059286E">
      <w:pPr>
        <w:pStyle w:val="DHHSbullet1"/>
      </w:pPr>
      <w:r w:rsidRPr="00B76A81">
        <w:t>providing detailed monthly, quarterly and annual CSF expenditure reports to AMHS, identifying overspend and underspend issues quarterly</w:t>
      </w:r>
    </w:p>
    <w:p w14:paraId="0C04FEFC" w14:textId="77777777" w:rsidR="0059286E" w:rsidRPr="00B76A81" w:rsidRDefault="0059286E" w:rsidP="0059286E">
      <w:pPr>
        <w:pStyle w:val="DHHSbullet1"/>
      </w:pPr>
      <w:r w:rsidRPr="00B76A81">
        <w:t>maintaining the online CSF system</w:t>
      </w:r>
    </w:p>
    <w:p w14:paraId="36B6BAC7" w14:textId="77777777" w:rsidR="0059286E" w:rsidRPr="00B76A81" w:rsidRDefault="0059286E" w:rsidP="0059286E">
      <w:pPr>
        <w:pStyle w:val="DHHSbullet1"/>
      </w:pPr>
      <w:r w:rsidRPr="00B76A81">
        <w:t>maintaining positive working relationships with Victorian AMHS</w:t>
      </w:r>
    </w:p>
    <w:p w14:paraId="1B28331C" w14:textId="2AACB305" w:rsidR="0059286E" w:rsidRPr="00B76A81" w:rsidRDefault="0059286E" w:rsidP="0059286E">
      <w:pPr>
        <w:pStyle w:val="DHHSbullet1"/>
      </w:pPr>
      <w:r w:rsidRPr="00B76A81">
        <w:t xml:space="preserve">participating in quarterly CSF meetings with the department </w:t>
      </w:r>
      <w:r w:rsidR="00D87038" w:rsidRPr="00B76A81">
        <w:t xml:space="preserve">about </w:t>
      </w:r>
      <w:r w:rsidRPr="00B76A81">
        <w:t>administ</w:t>
      </w:r>
      <w:r w:rsidR="00D87038" w:rsidRPr="00B76A81">
        <w:t>ering</w:t>
      </w:r>
      <w:r w:rsidRPr="00B76A81">
        <w:t xml:space="preserve"> the CSF</w:t>
      </w:r>
    </w:p>
    <w:p w14:paraId="703D8705" w14:textId="77777777" w:rsidR="0059286E" w:rsidRPr="00B76A81" w:rsidRDefault="0059286E" w:rsidP="0059286E">
      <w:pPr>
        <w:pStyle w:val="DHHSbullet1"/>
      </w:pPr>
      <w:r w:rsidRPr="00B76A81">
        <w:t xml:space="preserve">providing timely quarterly reports to the </w:t>
      </w:r>
      <w:r w:rsidRPr="00B76A81">
        <w:rPr>
          <w:rStyle w:val="Strong"/>
        </w:rPr>
        <w:t xml:space="preserve">department </w:t>
      </w:r>
      <w:r w:rsidRPr="00B76A81">
        <w:t>on CSF administration, and annual expenditure reports</w:t>
      </w:r>
    </w:p>
    <w:p w14:paraId="0371C075" w14:textId="3E5C87DB" w:rsidR="0059286E" w:rsidRPr="00B76A81" w:rsidRDefault="0059286E" w:rsidP="0059286E">
      <w:pPr>
        <w:pStyle w:val="DHHSbullet1"/>
      </w:pPr>
      <w:r w:rsidRPr="00B76A81">
        <w:t xml:space="preserve">raising issues </w:t>
      </w:r>
      <w:r w:rsidR="00D87038" w:rsidRPr="00B76A81">
        <w:t>about</w:t>
      </w:r>
      <w:r w:rsidRPr="00B76A81">
        <w:t xml:space="preserve"> budget and/or expenditure in a timely manner</w:t>
      </w:r>
      <w:r w:rsidR="00D87038" w:rsidRPr="00B76A81">
        <w:t>:</w:t>
      </w:r>
    </w:p>
    <w:p w14:paraId="3DF102E0" w14:textId="77777777" w:rsidR="0059286E" w:rsidRPr="00B76A81" w:rsidRDefault="0059286E" w:rsidP="007B6284">
      <w:pPr>
        <w:pStyle w:val="DHHSbullet2"/>
      </w:pPr>
      <w:r w:rsidRPr="00B76A81">
        <w:t>seeking clarifications from the department, in writing, to inform decision making</w:t>
      </w:r>
    </w:p>
    <w:p w14:paraId="620811F5" w14:textId="65A65875" w:rsidR="0059286E" w:rsidRPr="00B76A81" w:rsidRDefault="0059286E" w:rsidP="007B6284">
      <w:pPr>
        <w:pStyle w:val="DHHSbullet2"/>
      </w:pPr>
      <w:r w:rsidRPr="00B76A81">
        <w:t xml:space="preserve">responding to requests from the </w:t>
      </w:r>
      <w:r w:rsidR="00D87038" w:rsidRPr="00B76A81">
        <w:t>d</w:t>
      </w:r>
      <w:r w:rsidRPr="00B76A81">
        <w:t xml:space="preserve">epartment </w:t>
      </w:r>
      <w:r w:rsidR="00D87038" w:rsidRPr="00B76A81">
        <w:t>about</w:t>
      </w:r>
      <w:r w:rsidRPr="00B76A81">
        <w:t xml:space="preserve"> administ</w:t>
      </w:r>
      <w:r w:rsidR="00D87038" w:rsidRPr="00B76A81">
        <w:t>ering</w:t>
      </w:r>
      <w:r w:rsidRPr="00B76A81">
        <w:t xml:space="preserve"> the CSF. </w:t>
      </w:r>
    </w:p>
    <w:p w14:paraId="0AC36066" w14:textId="77777777" w:rsidR="00D87038" w:rsidRPr="00B76A81" w:rsidRDefault="00D87038">
      <w:pPr>
        <w:rPr>
          <w:rFonts w:ascii="Arial" w:eastAsia="Times" w:hAnsi="Arial"/>
        </w:rPr>
      </w:pPr>
      <w:r w:rsidRPr="00B76A81">
        <w:br w:type="page"/>
      </w:r>
    </w:p>
    <w:p w14:paraId="6AA5C1E3" w14:textId="4CFC6BE0" w:rsidR="0059286E" w:rsidRPr="00B76A81" w:rsidRDefault="0059286E" w:rsidP="007B6284">
      <w:pPr>
        <w:pStyle w:val="DHHSbodyafterbullets"/>
      </w:pPr>
      <w:r w:rsidRPr="00B76A81">
        <w:lastRenderedPageBreak/>
        <w:t xml:space="preserve">The </w:t>
      </w:r>
      <w:r w:rsidRPr="00B76A81">
        <w:rPr>
          <w:rStyle w:val="Strong"/>
        </w:rPr>
        <w:t>Independent CSF Advisory Group</w:t>
      </w:r>
      <w:r w:rsidRPr="00B76A81">
        <w:t xml:space="preserve"> is responsible for:</w:t>
      </w:r>
    </w:p>
    <w:p w14:paraId="740C1227" w14:textId="399C6270" w:rsidR="0059286E" w:rsidRPr="00B76A81" w:rsidRDefault="0059286E" w:rsidP="0059286E">
      <w:pPr>
        <w:pStyle w:val="DHHSbullet1"/>
      </w:pPr>
      <w:r w:rsidRPr="00B76A81">
        <w:t xml:space="preserve">meeting quarterly to monitor and to provide input, ideas and feedback </w:t>
      </w:r>
      <w:r w:rsidR="00D87038" w:rsidRPr="00B76A81">
        <w:t xml:space="preserve">about </w:t>
      </w:r>
      <w:r w:rsidRPr="00B76A81">
        <w:t>CSF administration</w:t>
      </w:r>
    </w:p>
    <w:p w14:paraId="0E216991" w14:textId="3F7925AC" w:rsidR="0059286E" w:rsidRPr="00B76A81" w:rsidRDefault="0059286E" w:rsidP="0059286E">
      <w:pPr>
        <w:pStyle w:val="DHHSbullet1"/>
      </w:pPr>
      <w:r w:rsidRPr="00B76A81">
        <w:t xml:space="preserve">offering advice to the </w:t>
      </w:r>
      <w:r w:rsidR="00D87038" w:rsidRPr="00B76A81">
        <w:t>d</w:t>
      </w:r>
      <w:r w:rsidRPr="00B76A81">
        <w:t>epartment on emerging issues affecting the uptake and administration of the CSF</w:t>
      </w:r>
    </w:p>
    <w:p w14:paraId="32DB9BD8" w14:textId="77777777" w:rsidR="0059286E" w:rsidRPr="00B76A81" w:rsidRDefault="0059286E" w:rsidP="0059286E">
      <w:pPr>
        <w:pStyle w:val="DHHSbullet1"/>
      </w:pPr>
      <w:r w:rsidRPr="00B76A81">
        <w:t>reviewing and resolving CSF appeals escalated to the group. (A minimum of three group members</w:t>
      </w:r>
    </w:p>
    <w:p w14:paraId="2DF681D7" w14:textId="77777777" w:rsidR="0059286E" w:rsidRPr="00B76A81" w:rsidRDefault="0059286E" w:rsidP="0059286E">
      <w:pPr>
        <w:pStyle w:val="DHHSbullet1lastline"/>
        <w:ind w:firstLine="0"/>
      </w:pPr>
      <w:r w:rsidRPr="00B76A81">
        <w:t>(excluding Tandem representatives) will manage appeals and a majority decision will apply. Appeals will be completed within 14 days and can be processed out of session.)</w:t>
      </w:r>
    </w:p>
    <w:p w14:paraId="64DFDCCF" w14:textId="25A72029" w:rsidR="0059286E" w:rsidRPr="00B76A81" w:rsidRDefault="0059286E" w:rsidP="0059286E">
      <w:pPr>
        <w:pStyle w:val="DHHSbody"/>
        <w:rPr>
          <w:rStyle w:val="Strong"/>
          <w:bCs w:val="0"/>
        </w:rPr>
      </w:pPr>
      <w:r w:rsidRPr="00B76A81">
        <w:t xml:space="preserve">The </w:t>
      </w:r>
      <w:r w:rsidR="007111E3" w:rsidRPr="00B76A81">
        <w:rPr>
          <w:b/>
        </w:rPr>
        <w:t>d</w:t>
      </w:r>
      <w:r w:rsidRPr="00B76A81">
        <w:rPr>
          <w:b/>
        </w:rPr>
        <w:t>epartment</w:t>
      </w:r>
      <w:r w:rsidRPr="00B76A81">
        <w:t xml:space="preserve"> funds the CSF and is responsible for:</w:t>
      </w:r>
    </w:p>
    <w:p w14:paraId="7B26EAE1" w14:textId="77777777" w:rsidR="0059286E" w:rsidRPr="00B76A81" w:rsidRDefault="0059286E" w:rsidP="0059286E">
      <w:pPr>
        <w:pStyle w:val="DHHSbullet1"/>
      </w:pPr>
      <w:r w:rsidRPr="00B76A81">
        <w:t>providing funding to the central CSF administrator for timely administration of the CSF</w:t>
      </w:r>
    </w:p>
    <w:p w14:paraId="1F0DB958" w14:textId="072D5C61" w:rsidR="0059286E" w:rsidRPr="00B76A81" w:rsidRDefault="0059286E" w:rsidP="0059286E">
      <w:pPr>
        <w:pStyle w:val="DHHSbullet1"/>
      </w:pPr>
      <w:r w:rsidRPr="00B76A81">
        <w:t xml:space="preserve">observing the </w:t>
      </w:r>
      <w:r w:rsidR="00D87038" w:rsidRPr="00B76A81">
        <w:t xml:space="preserve">Independent </w:t>
      </w:r>
      <w:r w:rsidRPr="00B76A81">
        <w:t>CSF Advisory Group (as a non-voting member)</w:t>
      </w:r>
    </w:p>
    <w:p w14:paraId="6C8C2554" w14:textId="77777777" w:rsidR="0059286E" w:rsidRPr="00B76A81" w:rsidRDefault="0059286E" w:rsidP="0059286E">
      <w:pPr>
        <w:pStyle w:val="DHHSbullet1"/>
      </w:pPr>
      <w:r w:rsidRPr="00B76A81">
        <w:t>providing CSF guidelines that articulate:</w:t>
      </w:r>
    </w:p>
    <w:p w14:paraId="578108D7" w14:textId="77777777" w:rsidR="0059286E" w:rsidRPr="00B76A81" w:rsidRDefault="0059286E" w:rsidP="007B6284">
      <w:pPr>
        <w:pStyle w:val="DHHSbullet2"/>
      </w:pPr>
      <w:r w:rsidRPr="00B76A81">
        <w:t xml:space="preserve">the aims and objectives of the CSF </w:t>
      </w:r>
    </w:p>
    <w:p w14:paraId="0C3D0DBB" w14:textId="77777777" w:rsidR="0059286E" w:rsidRPr="00B76A81" w:rsidRDefault="0059286E" w:rsidP="007B6284">
      <w:pPr>
        <w:pStyle w:val="DHHSbullet2"/>
      </w:pPr>
      <w:r w:rsidRPr="00B76A81">
        <w:t>governance arrangements for the CSF, including the roles and responsibilities of key parties</w:t>
      </w:r>
    </w:p>
    <w:p w14:paraId="1D446872" w14:textId="77777777" w:rsidR="0059286E" w:rsidRPr="00B76A81" w:rsidRDefault="0059286E" w:rsidP="007B6284">
      <w:pPr>
        <w:pStyle w:val="DHHSbullet2"/>
      </w:pPr>
      <w:r w:rsidRPr="00B76A81">
        <w:t>administrative processes including funding criteria, carer eligibility and reporting arrangements</w:t>
      </w:r>
    </w:p>
    <w:p w14:paraId="6467A904" w14:textId="17899538" w:rsidR="0059286E" w:rsidRPr="00B76A81" w:rsidRDefault="0059286E" w:rsidP="0059286E">
      <w:pPr>
        <w:pStyle w:val="DHHSbullet1"/>
      </w:pPr>
      <w:r w:rsidRPr="00B76A81">
        <w:t xml:space="preserve">timely communication to the central administrator </w:t>
      </w:r>
      <w:r w:rsidR="00D87038" w:rsidRPr="00B76A81">
        <w:t xml:space="preserve">about </w:t>
      </w:r>
      <w:r w:rsidRPr="00B76A81">
        <w:t>AMHS allocations</w:t>
      </w:r>
    </w:p>
    <w:p w14:paraId="77CBE2DB" w14:textId="77777777" w:rsidR="0059286E" w:rsidRPr="00B76A81" w:rsidRDefault="0059286E" w:rsidP="007B6284">
      <w:pPr>
        <w:pStyle w:val="DHHSbullet1"/>
      </w:pPr>
      <w:r w:rsidRPr="00B76A81">
        <w:t>helping to promote the CSF to carers, carer consultants and AMHS.</w:t>
      </w:r>
    </w:p>
    <w:p w14:paraId="63CAD4AE" w14:textId="5068725E" w:rsidR="0059286E" w:rsidRPr="00B76A81" w:rsidRDefault="0059286E" w:rsidP="0059286E">
      <w:pPr>
        <w:pStyle w:val="Heading1"/>
      </w:pPr>
      <w:r w:rsidRPr="00B76A81">
        <w:br w:type="page"/>
      </w:r>
      <w:bookmarkStart w:id="14" w:name="_Toc474164912"/>
      <w:bookmarkStart w:id="15" w:name="_Toc45285654"/>
      <w:bookmarkStart w:id="16" w:name="_Toc51943049"/>
      <w:r w:rsidRPr="00B76A81">
        <w:lastRenderedPageBreak/>
        <w:t xml:space="preserve">Independent </w:t>
      </w:r>
      <w:r w:rsidR="00B14DB5" w:rsidRPr="00B76A81">
        <w:t>a</w:t>
      </w:r>
      <w:r w:rsidRPr="00B76A81">
        <w:t xml:space="preserve">dvisory </w:t>
      </w:r>
      <w:r w:rsidR="00B14DB5" w:rsidRPr="00B76A81">
        <w:t>g</w:t>
      </w:r>
      <w:r w:rsidRPr="00B76A81">
        <w:t>roup terms of reference</w:t>
      </w:r>
      <w:bookmarkEnd w:id="14"/>
      <w:bookmarkEnd w:id="15"/>
      <w:bookmarkEnd w:id="16"/>
    </w:p>
    <w:tbl>
      <w:tblPr>
        <w:tblStyle w:val="TableGrid"/>
        <w:tblW w:w="0" w:type="auto"/>
        <w:tblLook w:val="04A0" w:firstRow="1" w:lastRow="0" w:firstColumn="1" w:lastColumn="0" w:noHBand="0" w:noVBand="1"/>
      </w:tblPr>
      <w:tblGrid>
        <w:gridCol w:w="9163"/>
      </w:tblGrid>
      <w:tr w:rsidR="00E4171E" w:rsidRPr="00E4171E" w14:paraId="435C00D3" w14:textId="77777777" w:rsidTr="007D59BB">
        <w:trPr>
          <w:trHeight w:val="1060"/>
        </w:trPr>
        <w:tc>
          <w:tcPr>
            <w:tcW w:w="9163" w:type="dxa"/>
            <w:tcMar>
              <w:top w:w="142" w:type="dxa"/>
              <w:left w:w="142" w:type="dxa"/>
              <w:bottom w:w="142" w:type="dxa"/>
              <w:right w:w="142" w:type="dxa"/>
            </w:tcMar>
          </w:tcPr>
          <w:p w14:paraId="3CDD4427" w14:textId="77777777" w:rsidR="00E4171E" w:rsidRPr="00E4171E" w:rsidRDefault="00E4171E" w:rsidP="00144B1D">
            <w:pPr>
              <w:pStyle w:val="DHHSintro"/>
            </w:pPr>
            <w:r w:rsidRPr="00E4171E">
              <w:t>The CSF helps carers in their role of caring for a person who is experiencing mental ill-health.</w:t>
            </w:r>
          </w:p>
          <w:p w14:paraId="5A4926A2" w14:textId="0F8C57EC" w:rsidR="00E4171E" w:rsidRPr="00E4171E" w:rsidRDefault="00E4171E" w:rsidP="00144B1D">
            <w:pPr>
              <w:pStyle w:val="DHHSintro"/>
            </w:pPr>
            <w:r w:rsidRPr="00E4171E">
              <w:t>The fund helps carers by providing financial support to reduce the costs associated with the caring role and to support the carer’s health and wellbeing.</w:t>
            </w:r>
          </w:p>
        </w:tc>
      </w:tr>
    </w:tbl>
    <w:p w14:paraId="3D8319FF" w14:textId="77777777" w:rsidR="0059286E" w:rsidRPr="00B76A81" w:rsidRDefault="0059286E" w:rsidP="007B6284">
      <w:pPr>
        <w:pStyle w:val="DHHSbodyaftertablefigure"/>
      </w:pPr>
      <w:r w:rsidRPr="00B76A81">
        <w:t xml:space="preserve">The purpose of the </w:t>
      </w:r>
      <w:r w:rsidRPr="00B76A81">
        <w:rPr>
          <w:rStyle w:val="Strong"/>
        </w:rPr>
        <w:t>Independent CSF Advisory Group</w:t>
      </w:r>
      <w:r w:rsidRPr="00B76A81">
        <w:rPr>
          <w:b/>
          <w:bCs/>
        </w:rPr>
        <w:t xml:space="preserve"> </w:t>
      </w:r>
      <w:r w:rsidRPr="00B76A81">
        <w:t xml:space="preserve">is to provide advice and guidance in relation to </w:t>
      </w:r>
      <w:r w:rsidRPr="00B76A81">
        <w:rPr>
          <w:rFonts w:cs="Arial"/>
        </w:rPr>
        <w:t>CSF administration.</w:t>
      </w:r>
    </w:p>
    <w:p w14:paraId="69893030" w14:textId="514ADF5F" w:rsidR="0059286E" w:rsidRPr="00B76A81" w:rsidRDefault="0059286E" w:rsidP="0059286E">
      <w:pPr>
        <w:pStyle w:val="DHHSbody"/>
      </w:pPr>
      <w:r w:rsidRPr="00B76A81">
        <w:t xml:space="preserve">Membership of the </w:t>
      </w:r>
      <w:r w:rsidR="00F4114F" w:rsidRPr="00B76A81">
        <w:t>a</w:t>
      </w:r>
      <w:r w:rsidRPr="00B76A81">
        <w:t xml:space="preserve">dvisory </w:t>
      </w:r>
      <w:r w:rsidR="00F4114F" w:rsidRPr="00B76A81">
        <w:t>g</w:t>
      </w:r>
      <w:r w:rsidRPr="00B76A81">
        <w:t>roup includes:</w:t>
      </w:r>
    </w:p>
    <w:p w14:paraId="4F0A987F" w14:textId="40682E08" w:rsidR="0059286E" w:rsidRPr="00B76A81" w:rsidRDefault="0059286E" w:rsidP="0059286E">
      <w:pPr>
        <w:pStyle w:val="DHHSbullet1"/>
      </w:pPr>
      <w:r w:rsidRPr="00B76A81">
        <w:t xml:space="preserve">two representatives of Tandem including CSF </w:t>
      </w:r>
      <w:r w:rsidR="00F4114F" w:rsidRPr="00B76A81">
        <w:t>a</w:t>
      </w:r>
      <w:r w:rsidRPr="00B76A81">
        <w:t>dministration staff</w:t>
      </w:r>
    </w:p>
    <w:p w14:paraId="64893207" w14:textId="77777777" w:rsidR="0059286E" w:rsidRPr="00B76A81" w:rsidRDefault="0059286E" w:rsidP="0059286E">
      <w:pPr>
        <w:pStyle w:val="DHHSbullet1"/>
      </w:pPr>
      <w:r w:rsidRPr="00B76A81">
        <w:t>two AMHS representatives (one rural, one metropolitan)</w:t>
      </w:r>
    </w:p>
    <w:p w14:paraId="7E5113FA" w14:textId="77777777" w:rsidR="0059286E" w:rsidRPr="00B76A81" w:rsidRDefault="0059286E" w:rsidP="0059286E">
      <w:pPr>
        <w:pStyle w:val="DHHSbullet1"/>
      </w:pPr>
      <w:r w:rsidRPr="00B76A81">
        <w:t>two carer workforce representatives (one rural, one metropolitan)</w:t>
      </w:r>
    </w:p>
    <w:p w14:paraId="07784B12" w14:textId="77777777" w:rsidR="0059286E" w:rsidRPr="00B76A81" w:rsidRDefault="0059286E" w:rsidP="007B6284">
      <w:pPr>
        <w:pStyle w:val="DHHSbullet2"/>
      </w:pPr>
      <w:r w:rsidRPr="00B76A81">
        <w:t>one carer representative</w:t>
      </w:r>
    </w:p>
    <w:p w14:paraId="2CE49EB9" w14:textId="77BABFAC" w:rsidR="0059286E" w:rsidRPr="00B76A81" w:rsidRDefault="0059286E" w:rsidP="007B6284">
      <w:pPr>
        <w:pStyle w:val="DHHSbullet2"/>
      </w:pPr>
      <w:r w:rsidRPr="00B76A81">
        <w:t xml:space="preserve">one </w:t>
      </w:r>
      <w:r w:rsidR="00F4114F" w:rsidRPr="00B76A81">
        <w:t>d</w:t>
      </w:r>
      <w:r w:rsidRPr="00B76A81">
        <w:t>epartmental representative (as a non-voting observer)</w:t>
      </w:r>
      <w:r w:rsidR="007111E3" w:rsidRPr="00B76A81">
        <w:t>.</w:t>
      </w:r>
    </w:p>
    <w:p w14:paraId="59A9E6FD" w14:textId="17788266" w:rsidR="0059286E" w:rsidRPr="00B76A81" w:rsidRDefault="0059286E" w:rsidP="007B6284">
      <w:pPr>
        <w:pStyle w:val="DHHSbodyafterbullets"/>
      </w:pPr>
      <w:r w:rsidRPr="00B76A81">
        <w:t xml:space="preserve">Advisory </w:t>
      </w:r>
      <w:r w:rsidR="00F4114F" w:rsidRPr="00B76A81">
        <w:t>g</w:t>
      </w:r>
      <w:r w:rsidRPr="00B76A81">
        <w:t>roup members will:</w:t>
      </w:r>
    </w:p>
    <w:p w14:paraId="660F5232" w14:textId="77777777" w:rsidR="0059286E" w:rsidRPr="00B76A81" w:rsidRDefault="0059286E" w:rsidP="0059286E">
      <w:pPr>
        <w:pStyle w:val="DHHSbullet1"/>
      </w:pPr>
      <w:r w:rsidRPr="00B76A81">
        <w:t>meet quarterly to monitor and support the administration of the CSF</w:t>
      </w:r>
    </w:p>
    <w:p w14:paraId="74D143A5" w14:textId="020C1166" w:rsidR="0059286E" w:rsidRPr="00B76A81" w:rsidRDefault="0059286E" w:rsidP="0059286E">
      <w:pPr>
        <w:pStyle w:val="DHHSbullet1"/>
      </w:pPr>
      <w:r w:rsidRPr="00B76A81">
        <w:t xml:space="preserve">provide input, ideas and feedback </w:t>
      </w:r>
      <w:r w:rsidR="00F4114F" w:rsidRPr="00B76A81">
        <w:t xml:space="preserve">about </w:t>
      </w:r>
      <w:r w:rsidRPr="00B76A81">
        <w:t>administ</w:t>
      </w:r>
      <w:r w:rsidR="00F4114F" w:rsidRPr="00B76A81">
        <w:t>ering</w:t>
      </w:r>
      <w:r w:rsidRPr="00B76A81">
        <w:t xml:space="preserve"> the CSF</w:t>
      </w:r>
    </w:p>
    <w:p w14:paraId="1B1CF7F8" w14:textId="24041CDF" w:rsidR="0059286E" w:rsidRPr="00B76A81" w:rsidRDefault="0059286E" w:rsidP="0059286E">
      <w:pPr>
        <w:pStyle w:val="DHHSbullet1"/>
      </w:pPr>
      <w:r w:rsidRPr="00B76A81">
        <w:t xml:space="preserve">offer advice to the </w:t>
      </w:r>
      <w:r w:rsidR="00F4114F" w:rsidRPr="00B76A81">
        <w:t>d</w:t>
      </w:r>
      <w:r w:rsidRPr="00B76A81">
        <w:t xml:space="preserve">epartment on emerging issues affecting the uptake and administration of the CSF </w:t>
      </w:r>
    </w:p>
    <w:p w14:paraId="4161B5A4" w14:textId="77777777" w:rsidR="0059286E" w:rsidRPr="00B76A81" w:rsidRDefault="0059286E" w:rsidP="0059286E">
      <w:pPr>
        <w:pStyle w:val="DHHSbullet1"/>
      </w:pPr>
      <w:r w:rsidRPr="00B76A81">
        <w:t>receive updates and monitor the number of CSF applications, appeals and expenditure</w:t>
      </w:r>
    </w:p>
    <w:p w14:paraId="5C823888" w14:textId="07BEC024" w:rsidR="0059286E" w:rsidRPr="00B76A81" w:rsidRDefault="0059286E" w:rsidP="0059286E">
      <w:pPr>
        <w:pStyle w:val="DHHSbullet1"/>
      </w:pPr>
      <w:r w:rsidRPr="00B76A81">
        <w:t xml:space="preserve">review and resolve CSF appeals escalated to the </w:t>
      </w:r>
      <w:r w:rsidR="00F4114F" w:rsidRPr="00B76A81">
        <w:t>a</w:t>
      </w:r>
      <w:r w:rsidRPr="00B76A81">
        <w:t xml:space="preserve">dvisory </w:t>
      </w:r>
      <w:r w:rsidR="00F4114F" w:rsidRPr="00B76A81">
        <w:t>g</w:t>
      </w:r>
      <w:r w:rsidRPr="00B76A81">
        <w:t>roup:</w:t>
      </w:r>
    </w:p>
    <w:p w14:paraId="0ABF9F16" w14:textId="77777777" w:rsidR="0059286E" w:rsidRPr="00B76A81" w:rsidRDefault="0059286E" w:rsidP="007B6284">
      <w:pPr>
        <w:pStyle w:val="DHHSbullet2"/>
      </w:pPr>
      <w:r w:rsidRPr="00B76A81">
        <w:t>A minimum of three advisory group members will manage appeals (excluding Tandem representatives).</w:t>
      </w:r>
    </w:p>
    <w:p w14:paraId="7446D51F" w14:textId="77777777" w:rsidR="0059286E" w:rsidRPr="00B76A81" w:rsidRDefault="0059286E" w:rsidP="007B6284">
      <w:pPr>
        <w:pStyle w:val="DHHSbullet2"/>
      </w:pPr>
      <w:r w:rsidRPr="00B76A81">
        <w:t>Appeals will be processed out of session and completed within 14 days.</w:t>
      </w:r>
    </w:p>
    <w:p w14:paraId="5C6B0710" w14:textId="47B2BDCD" w:rsidR="0059286E" w:rsidRPr="00B76A81" w:rsidRDefault="0059286E" w:rsidP="007B6284">
      <w:pPr>
        <w:pStyle w:val="DHHSbullet2"/>
      </w:pPr>
      <w:r w:rsidRPr="00B76A81">
        <w:t>A majority decision will appl</w:t>
      </w:r>
      <w:r w:rsidR="00F4114F" w:rsidRPr="00B76A81">
        <w:t>y</w:t>
      </w:r>
      <w:r w:rsidRPr="00B76A81">
        <w:t xml:space="preserve"> to appeals.</w:t>
      </w:r>
    </w:p>
    <w:p w14:paraId="10FAD3F2" w14:textId="5C4C2A44" w:rsidR="0059286E" w:rsidRPr="00B76A81" w:rsidRDefault="0059286E" w:rsidP="007B6284">
      <w:pPr>
        <w:pStyle w:val="DHHSbullet2"/>
      </w:pPr>
      <w:r w:rsidRPr="00B76A81">
        <w:t xml:space="preserve">The CSF manager will be notified of the outcome of appeals and </w:t>
      </w:r>
      <w:r w:rsidR="00F4114F" w:rsidRPr="00B76A81">
        <w:t xml:space="preserve">the </w:t>
      </w:r>
      <w:r w:rsidRPr="00B76A81">
        <w:t>rationale.</w:t>
      </w:r>
    </w:p>
    <w:p w14:paraId="01A1AA4F" w14:textId="77777777" w:rsidR="0059286E" w:rsidRPr="00B76A81" w:rsidRDefault="0059286E" w:rsidP="00532B51">
      <w:pPr>
        <w:pStyle w:val="Heading2"/>
        <w:rPr>
          <w:rStyle w:val="Strong"/>
        </w:rPr>
      </w:pPr>
      <w:bookmarkStart w:id="17" w:name="_Toc51943050"/>
      <w:r w:rsidRPr="00B25021">
        <w:rPr>
          <w:rStyle w:val="Strong"/>
          <w:b/>
          <w:bCs w:val="0"/>
        </w:rPr>
        <w:t>Meeting</w:t>
      </w:r>
      <w:r w:rsidRPr="00B76A81">
        <w:rPr>
          <w:rStyle w:val="Strong"/>
        </w:rPr>
        <w:t xml:space="preserve"> </w:t>
      </w:r>
      <w:r w:rsidRPr="00B25021">
        <w:rPr>
          <w:rStyle w:val="Strong"/>
          <w:b/>
          <w:bCs w:val="0"/>
        </w:rPr>
        <w:t>specifics</w:t>
      </w:r>
      <w:bookmarkEnd w:id="17"/>
    </w:p>
    <w:p w14:paraId="320F3F70" w14:textId="77777777" w:rsidR="0059286E" w:rsidRPr="00B76A81" w:rsidRDefault="0059286E" w:rsidP="0059286E">
      <w:pPr>
        <w:pStyle w:val="DHHSbullet1"/>
      </w:pPr>
      <w:r w:rsidRPr="00B76A81">
        <w:t>Independent CSF Advisory Group meetings will be held quarterly, with a quorum of four (not including the departmental observer).</w:t>
      </w:r>
    </w:p>
    <w:p w14:paraId="0E018202" w14:textId="77777777" w:rsidR="0059286E" w:rsidRPr="00B76A81" w:rsidRDefault="0059286E" w:rsidP="0059286E">
      <w:pPr>
        <w:pStyle w:val="DHHSbullet1"/>
      </w:pPr>
      <w:r w:rsidRPr="00B76A81">
        <w:t>Teleconference opportunities will be provided to members wherever possible.</w:t>
      </w:r>
    </w:p>
    <w:p w14:paraId="6AE54F4B" w14:textId="048A5E8B" w:rsidR="0059286E" w:rsidRPr="00B76A81" w:rsidRDefault="0059286E" w:rsidP="006B65F6">
      <w:pPr>
        <w:pStyle w:val="DHHSbullet1"/>
      </w:pPr>
      <w:r w:rsidRPr="00B76A81">
        <w:t>Tandem will provide secretariat support to the meetings including minut</w:t>
      </w:r>
      <w:r w:rsidR="00F4114F" w:rsidRPr="00B76A81">
        <w:t>e-taking.</w:t>
      </w:r>
      <w:r w:rsidRPr="00B76A81">
        <w:t xml:space="preserve"> </w:t>
      </w:r>
      <w:r w:rsidR="00F4114F" w:rsidRPr="00B76A81">
        <w:t>Tandem will</w:t>
      </w:r>
      <w:r w:rsidRPr="00B76A81">
        <w:t xml:space="preserve"> circulat</w:t>
      </w:r>
      <w:r w:rsidR="00F4114F" w:rsidRPr="00B76A81">
        <w:t>e the</w:t>
      </w:r>
      <w:r w:rsidRPr="00B76A81">
        <w:t xml:space="preserve"> minutes to members and the department within a fortnight of each meeting.</w:t>
      </w:r>
    </w:p>
    <w:p w14:paraId="7A1FDA27" w14:textId="4CDC38EF" w:rsidR="0059286E" w:rsidRPr="00B76A81" w:rsidRDefault="0059286E" w:rsidP="006B65F6">
      <w:pPr>
        <w:pStyle w:val="DHHSbullet1"/>
      </w:pPr>
      <w:r w:rsidRPr="00B76A81">
        <w:t xml:space="preserve">Where appropriate, the carer representative should be offered reimbursements in line with </w:t>
      </w:r>
      <w:r w:rsidR="00F4114F" w:rsidRPr="00B76A81">
        <w:t xml:space="preserve">the </w:t>
      </w:r>
      <w:r w:rsidRPr="00B76A81">
        <w:t>Victorian</w:t>
      </w:r>
      <w:r w:rsidR="007111E3" w:rsidRPr="00B76A81">
        <w:t xml:space="preserve"> Government’s</w:t>
      </w:r>
      <w:r w:rsidRPr="00B76A81">
        <w:t xml:space="preserve"> </w:t>
      </w:r>
      <w:hyperlink r:id="rId21" w:history="1">
        <w:r w:rsidRPr="00B76A81">
          <w:rPr>
            <w:rStyle w:val="Hyperlink"/>
            <w:i/>
          </w:rPr>
          <w:t xml:space="preserve">Appointment and </w:t>
        </w:r>
        <w:r w:rsidR="007111E3" w:rsidRPr="00B76A81">
          <w:rPr>
            <w:rStyle w:val="Hyperlink"/>
            <w:i/>
          </w:rPr>
          <w:t>r</w:t>
        </w:r>
        <w:r w:rsidRPr="00B76A81">
          <w:rPr>
            <w:rStyle w:val="Hyperlink"/>
            <w:i/>
          </w:rPr>
          <w:t>e</w:t>
        </w:r>
        <w:r w:rsidR="00B25021">
          <w:rPr>
            <w:rStyle w:val="Hyperlink"/>
            <w:i/>
          </w:rPr>
          <w:t>muneration</w:t>
        </w:r>
        <w:r w:rsidRPr="00B76A81">
          <w:rPr>
            <w:rStyle w:val="Hyperlink"/>
            <w:i/>
          </w:rPr>
          <w:t xml:space="preserve"> </w:t>
        </w:r>
        <w:r w:rsidR="007111E3" w:rsidRPr="00B76A81">
          <w:rPr>
            <w:rStyle w:val="Hyperlink"/>
            <w:i/>
          </w:rPr>
          <w:t>g</w:t>
        </w:r>
        <w:r w:rsidRPr="00B76A81">
          <w:rPr>
            <w:rStyle w:val="Hyperlink"/>
            <w:i/>
          </w:rPr>
          <w:t>uidelines</w:t>
        </w:r>
      </w:hyperlink>
      <w:r w:rsidRPr="00B76A81">
        <w:t xml:space="preserve"> </w:t>
      </w:r>
      <w:r w:rsidR="007111E3" w:rsidRPr="00B76A81">
        <w:t>&lt;</w:t>
      </w:r>
      <w:r w:rsidRPr="00B76A81">
        <w:t>https://www.vic.gov.au/guidelines-appointment-remuneration</w:t>
      </w:r>
      <w:r w:rsidR="007111E3" w:rsidRPr="00B76A81">
        <w:t>&gt;</w:t>
      </w:r>
      <w:r w:rsidRPr="00B76A81">
        <w:t>.</w:t>
      </w:r>
    </w:p>
    <w:p w14:paraId="330113F6" w14:textId="77777777" w:rsidR="0059286E" w:rsidRPr="00B76A81" w:rsidRDefault="0059286E" w:rsidP="006B65F6">
      <w:pPr>
        <w:pStyle w:val="DHHSbodyafterbullets"/>
      </w:pPr>
      <w:r w:rsidRPr="00B76A81">
        <w:t>Figure 2 shows the required governance arrangements for Tandem.</w:t>
      </w:r>
    </w:p>
    <w:p w14:paraId="4B679FB4" w14:textId="77777777" w:rsidR="0059286E" w:rsidRPr="00B76A81" w:rsidRDefault="0059286E" w:rsidP="0059286E">
      <w:pPr>
        <w:pStyle w:val="DHHSfigurecaption"/>
      </w:pPr>
      <w:bookmarkStart w:id="18" w:name="_Toc474164913"/>
      <w:r w:rsidRPr="00B76A81">
        <w:br w:type="page"/>
      </w:r>
      <w:r w:rsidRPr="00B76A81">
        <w:lastRenderedPageBreak/>
        <w:t>Figure 2: Required governance arrangements for Tandem (central CSF administrator)</w:t>
      </w:r>
      <w:bookmarkEnd w:id="18"/>
    </w:p>
    <w:p w14:paraId="6166A656" w14:textId="77777777" w:rsidR="0059286E" w:rsidRPr="00B76A81" w:rsidRDefault="0059286E" w:rsidP="0059286E">
      <w:pPr>
        <w:pStyle w:val="DHHSbody"/>
      </w:pPr>
      <w:r w:rsidRPr="00B76A81">
        <w:rPr>
          <w:noProof/>
          <w:lang w:eastAsia="en-AU"/>
        </w:rPr>
        <w:drawing>
          <wp:inline distT="0" distB="0" distL="0" distR="0" wp14:anchorId="7A6BA7D7" wp14:editId="552FF26C">
            <wp:extent cx="6038194" cy="5028837"/>
            <wp:effectExtent l="0" t="0" r="1270" b="635"/>
            <wp:docPr id="5" name="Picture 5" descr="Tandem management reports to both the Tandem board (which delegates authority for CSF administration to senior management) and to the department. Tandem management works alongside the Independent CSF Advisory Group and is responsible for overseeing CSF operations, reporting to the board and reporting to the department. The Tandem CSF administrator, which reports to management, is responsible for day-to-day fund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quired governance arrangements for Tandem (central CSF administrator) diagram"/>
                    <pic:cNvPicPr>
                      <a:picLocks noChangeAspect="1" noChangeArrowheads="1"/>
                    </pic:cNvPicPr>
                  </pic:nvPicPr>
                  <pic:blipFill>
                    <a:blip r:embed="rId22"/>
                    <a:stretch>
                      <a:fillRect/>
                    </a:stretch>
                  </pic:blipFill>
                  <pic:spPr bwMode="auto">
                    <a:xfrm>
                      <a:off x="0" y="0"/>
                      <a:ext cx="6041158" cy="5031306"/>
                    </a:xfrm>
                    <a:prstGeom prst="rect">
                      <a:avLst/>
                    </a:prstGeom>
                    <a:noFill/>
                    <a:ln>
                      <a:noFill/>
                    </a:ln>
                  </pic:spPr>
                </pic:pic>
              </a:graphicData>
            </a:graphic>
          </wp:inline>
        </w:drawing>
      </w:r>
    </w:p>
    <w:p w14:paraId="3A082B4D" w14:textId="77777777" w:rsidR="0059286E" w:rsidRPr="00B76A81" w:rsidRDefault="0059286E" w:rsidP="0059286E">
      <w:pPr>
        <w:pStyle w:val="DHHSfigurecaption"/>
      </w:pPr>
      <w:bookmarkStart w:id="19" w:name="_Toc474164914"/>
      <w:r w:rsidRPr="00B76A81">
        <w:br w:type="page"/>
      </w:r>
    </w:p>
    <w:p w14:paraId="6671FEB0" w14:textId="68776349" w:rsidR="0059286E" w:rsidRPr="00B76A81" w:rsidRDefault="0059286E" w:rsidP="0059286E">
      <w:pPr>
        <w:pStyle w:val="DHHSbody"/>
      </w:pPr>
      <w:r w:rsidRPr="00B76A81">
        <w:lastRenderedPageBreak/>
        <w:t xml:space="preserve">Figure 3 shows the governance arrangements for </w:t>
      </w:r>
      <w:r w:rsidR="00F81623" w:rsidRPr="00B76A81">
        <w:t>AMHS</w:t>
      </w:r>
      <w:r w:rsidRPr="00B76A81">
        <w:t>.</w:t>
      </w:r>
    </w:p>
    <w:p w14:paraId="3E449E59" w14:textId="3780F939" w:rsidR="0059286E" w:rsidRPr="00B76A81" w:rsidRDefault="0059286E" w:rsidP="0059286E">
      <w:pPr>
        <w:pStyle w:val="DHHSfigurecaption"/>
      </w:pPr>
      <w:r w:rsidRPr="00B76A81">
        <w:t>Figure 3: Required governance arrangements for AMHS (local CSF</w:t>
      </w:r>
      <w:bookmarkEnd w:id="19"/>
      <w:r w:rsidRPr="00B76A81">
        <w:t xml:space="preserve"> </w:t>
      </w:r>
      <w:bookmarkStart w:id="20" w:name="_Toc474164915"/>
      <w:r w:rsidRPr="00B76A81">
        <w:t>administrator)</w:t>
      </w:r>
      <w:bookmarkEnd w:id="20"/>
    </w:p>
    <w:p w14:paraId="697B9233" w14:textId="77777777" w:rsidR="0059286E" w:rsidRPr="00B76A81" w:rsidRDefault="0059286E" w:rsidP="0059286E">
      <w:pPr>
        <w:pStyle w:val="DHHSbody"/>
      </w:pPr>
      <w:r w:rsidRPr="00B76A81">
        <w:rPr>
          <w:noProof/>
          <w:lang w:eastAsia="en-AU"/>
        </w:rPr>
        <w:drawing>
          <wp:inline distT="0" distB="0" distL="0" distR="0" wp14:anchorId="627081D4" wp14:editId="3C4DAFBE">
            <wp:extent cx="5895975" cy="7799288"/>
            <wp:effectExtent l="0" t="0" r="0" b="0"/>
            <wp:docPr id="3" name="Picture 3" descr="See Appendix 3 for a description of this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quired CSF governance arrangements for AMHS (local CSF administrator) diagram"/>
                    <pic:cNvPicPr>
                      <a:picLocks noChangeAspect="1" noChangeArrowheads="1"/>
                    </pic:cNvPicPr>
                  </pic:nvPicPr>
                  <pic:blipFill>
                    <a:blip r:embed="rId23"/>
                    <a:stretch>
                      <a:fillRect/>
                    </a:stretch>
                  </pic:blipFill>
                  <pic:spPr bwMode="auto">
                    <a:xfrm>
                      <a:off x="0" y="0"/>
                      <a:ext cx="5896305" cy="7799724"/>
                    </a:xfrm>
                    <a:prstGeom prst="rect">
                      <a:avLst/>
                    </a:prstGeom>
                    <a:noFill/>
                    <a:ln>
                      <a:noFill/>
                    </a:ln>
                  </pic:spPr>
                </pic:pic>
              </a:graphicData>
            </a:graphic>
          </wp:inline>
        </w:drawing>
      </w:r>
    </w:p>
    <w:p w14:paraId="44A48E83" w14:textId="5FD4F4DB" w:rsidR="0059286E" w:rsidRPr="00B76A81" w:rsidRDefault="0059286E" w:rsidP="0059286E">
      <w:pPr>
        <w:pStyle w:val="Heading1"/>
      </w:pPr>
      <w:bookmarkStart w:id="21" w:name="_Toc474164916"/>
      <w:r w:rsidRPr="00B76A81">
        <w:br w:type="page"/>
      </w:r>
      <w:bookmarkStart w:id="22" w:name="_Toc45285655"/>
      <w:bookmarkStart w:id="23" w:name="_Toc51943051"/>
      <w:r w:rsidRPr="00B76A81">
        <w:lastRenderedPageBreak/>
        <w:t xml:space="preserve">Who can access the </w:t>
      </w:r>
      <w:r w:rsidR="00B14DB5" w:rsidRPr="00B76A81">
        <w:t>fund</w:t>
      </w:r>
      <w:r w:rsidRPr="00B76A81">
        <w:t>?</w:t>
      </w:r>
      <w:bookmarkEnd w:id="21"/>
      <w:bookmarkEnd w:id="22"/>
      <w:bookmarkEnd w:id="23"/>
    </w:p>
    <w:p w14:paraId="77FC0536" w14:textId="77777777" w:rsidR="0059286E" w:rsidRPr="00B76A81" w:rsidRDefault="0059286E" w:rsidP="0059286E">
      <w:pPr>
        <w:pStyle w:val="Heading2"/>
      </w:pPr>
      <w:bookmarkStart w:id="24" w:name="_Toc474164917"/>
      <w:bookmarkStart w:id="25" w:name="_Toc45285656"/>
      <w:bookmarkStart w:id="26" w:name="_Toc51943052"/>
      <w:r w:rsidRPr="00B76A81">
        <w:t>Eligible beneficiaries</w:t>
      </w:r>
      <w:bookmarkEnd w:id="24"/>
      <w:bookmarkEnd w:id="25"/>
      <w:bookmarkEnd w:id="26"/>
    </w:p>
    <w:p w14:paraId="13D90624" w14:textId="536770E7" w:rsidR="0059286E" w:rsidRPr="00B76A81" w:rsidRDefault="0059286E" w:rsidP="006B65F6">
      <w:pPr>
        <w:pStyle w:val="DHHSbody"/>
      </w:pPr>
      <w:r w:rsidRPr="00B76A81">
        <w:t>CSF beneficiaries must be carers (</w:t>
      </w:r>
      <w:r w:rsidR="00FD640D" w:rsidRPr="00B76A81">
        <w:t>see</w:t>
      </w:r>
      <w:r w:rsidRPr="00B76A81">
        <w:t xml:space="preserve"> </w:t>
      </w:r>
      <w:r w:rsidR="00532B51" w:rsidRPr="00B76A81">
        <w:t xml:space="preserve">definition in </w:t>
      </w:r>
      <w:r w:rsidRPr="00B76A81">
        <w:t xml:space="preserve">footnote on p. </w:t>
      </w:r>
      <w:r w:rsidR="00532B51" w:rsidRPr="00B76A81">
        <w:t>1</w:t>
      </w:r>
      <w:r w:rsidRPr="00B76A81">
        <w:t>) of a person who is receiving services from a Victorian public mental health service or program, identified via their statewide UR number.</w:t>
      </w:r>
      <w:r w:rsidRPr="00B76A81">
        <w:rPr>
          <w:rStyle w:val="FootnoteReference"/>
          <w:rFonts w:cs="Arial"/>
        </w:rPr>
        <w:footnoteReference w:id="2"/>
      </w:r>
      <w:r w:rsidRPr="00B76A81">
        <w:rPr>
          <w:position w:val="10"/>
          <w:sz w:val="13"/>
          <w:szCs w:val="13"/>
        </w:rPr>
        <w:t xml:space="preserve">  </w:t>
      </w:r>
      <w:r w:rsidRPr="00B76A81">
        <w:t xml:space="preserve">Multiple applications are </w:t>
      </w:r>
      <w:r w:rsidR="00FD640D" w:rsidRPr="00B76A81">
        <w:t>accepted</w:t>
      </w:r>
      <w:r w:rsidRPr="00B76A81">
        <w:t>, up to a limit of $1,000 (ex</w:t>
      </w:r>
      <w:r w:rsidR="007111E3" w:rsidRPr="00B76A81">
        <w:t>cluding</w:t>
      </w:r>
      <w:r w:rsidRPr="00B76A81">
        <w:t xml:space="preserve"> GST) per applicant per year (</w:t>
      </w:r>
      <w:r w:rsidR="00FD640D" w:rsidRPr="00B76A81">
        <w:t>see</w:t>
      </w:r>
      <w:r w:rsidRPr="00B76A81">
        <w:t xml:space="preserve"> </w:t>
      </w:r>
      <w:r w:rsidR="008A59B5" w:rsidRPr="00B76A81">
        <w:t>‘P</w:t>
      </w:r>
      <w:r w:rsidRPr="00B76A81">
        <w:t>ayment caps</w:t>
      </w:r>
      <w:r w:rsidR="008A59B5" w:rsidRPr="00B76A81">
        <w:t>’ section</w:t>
      </w:r>
      <w:r w:rsidRPr="00B76A81">
        <w:t xml:space="preserve">). </w:t>
      </w:r>
    </w:p>
    <w:p w14:paraId="07CD5192" w14:textId="77777777" w:rsidR="0059286E" w:rsidRPr="00B76A81" w:rsidRDefault="0059286E" w:rsidP="0059286E">
      <w:pPr>
        <w:pStyle w:val="DHHSbody"/>
      </w:pPr>
      <w:r w:rsidRPr="00B76A81">
        <w:t>Applications may also benefit the person with the mental illness, provided the carer is the main beneficiary.</w:t>
      </w:r>
    </w:p>
    <w:p w14:paraId="621EE5E6" w14:textId="77777777" w:rsidR="00FD640D" w:rsidRPr="00B76A81" w:rsidRDefault="0059286E" w:rsidP="0059286E">
      <w:pPr>
        <w:pStyle w:val="DHHSbody"/>
      </w:pPr>
      <w:r w:rsidRPr="00B76A81">
        <w:t>Eligible workers may make applications on behalf of families and carers they are supporting. Eligible workers include</w:t>
      </w:r>
      <w:r w:rsidR="00FD640D" w:rsidRPr="00B76A81">
        <w:t>:</w:t>
      </w:r>
      <w:r w:rsidRPr="00B76A81">
        <w:t xml:space="preserve"> </w:t>
      </w:r>
    </w:p>
    <w:p w14:paraId="065A7967" w14:textId="42632BA7" w:rsidR="00FD640D" w:rsidRPr="00B76A81" w:rsidRDefault="0059286E" w:rsidP="00B25021">
      <w:pPr>
        <w:pStyle w:val="DHHSbullet1"/>
      </w:pPr>
      <w:r w:rsidRPr="00B76A81">
        <w:t>clinicians</w:t>
      </w:r>
    </w:p>
    <w:p w14:paraId="1CD52C52" w14:textId="718E886C" w:rsidR="00FD640D" w:rsidRPr="00B76A81" w:rsidRDefault="0059286E" w:rsidP="00B25021">
      <w:pPr>
        <w:pStyle w:val="DHHSbullet1"/>
      </w:pPr>
      <w:r w:rsidRPr="00B76A81">
        <w:t xml:space="preserve">carer peer workers </w:t>
      </w:r>
    </w:p>
    <w:p w14:paraId="6ABF143F" w14:textId="57741EF9" w:rsidR="0059286E" w:rsidRPr="00B76A81" w:rsidRDefault="0059286E" w:rsidP="00B25021">
      <w:pPr>
        <w:pStyle w:val="DHHSbullet1"/>
      </w:pPr>
      <w:r w:rsidRPr="00B76A81">
        <w:t xml:space="preserve">carer consultants. </w:t>
      </w:r>
    </w:p>
    <w:p w14:paraId="3F78964B" w14:textId="53CC5B5F" w:rsidR="0059286E" w:rsidRPr="00B76A81" w:rsidRDefault="0059286E" w:rsidP="0059286E">
      <w:pPr>
        <w:pStyle w:val="Heading2"/>
      </w:pPr>
      <w:bookmarkStart w:id="27" w:name="_Toc474164918"/>
      <w:bookmarkStart w:id="28" w:name="_Toc45285657"/>
      <w:bookmarkStart w:id="29" w:name="_Toc51943053"/>
      <w:r w:rsidRPr="00B76A81">
        <w:t>Ineligible</w:t>
      </w:r>
      <w:bookmarkEnd w:id="27"/>
      <w:bookmarkEnd w:id="28"/>
      <w:r w:rsidRPr="00B76A81">
        <w:t xml:space="preserve"> </w:t>
      </w:r>
      <w:r w:rsidR="00590A4D" w:rsidRPr="00B76A81">
        <w:t>applicants</w:t>
      </w:r>
      <w:bookmarkEnd w:id="29"/>
    </w:p>
    <w:p w14:paraId="6F63FF86" w14:textId="4390A376" w:rsidR="00FD640D" w:rsidRPr="00B76A81" w:rsidRDefault="0059286E" w:rsidP="0059286E">
      <w:pPr>
        <w:pStyle w:val="DHHSbody"/>
      </w:pPr>
      <w:r w:rsidRPr="00B76A81">
        <w:t xml:space="preserve">A person employed to care for a client is </w:t>
      </w:r>
      <w:r w:rsidRPr="00B76A81">
        <w:rPr>
          <w:rStyle w:val="Strong"/>
        </w:rPr>
        <w:t>not eligible</w:t>
      </w:r>
      <w:r w:rsidRPr="00B76A81">
        <w:rPr>
          <w:b/>
          <w:bCs/>
        </w:rPr>
        <w:t xml:space="preserve"> </w:t>
      </w:r>
      <w:r w:rsidRPr="00B76A81">
        <w:t xml:space="preserve">to </w:t>
      </w:r>
      <w:r w:rsidR="00FD640D" w:rsidRPr="00B76A81">
        <w:t>access the CSF</w:t>
      </w:r>
      <w:r w:rsidRPr="00B76A81">
        <w:t>. Examples include</w:t>
      </w:r>
      <w:r w:rsidR="00FD640D" w:rsidRPr="00B76A81">
        <w:t>:</w:t>
      </w:r>
      <w:r w:rsidRPr="00B76A81">
        <w:t xml:space="preserve"> </w:t>
      </w:r>
    </w:p>
    <w:p w14:paraId="7712BCAE" w14:textId="1EDBB525" w:rsidR="00FD640D" w:rsidRPr="00B76A81" w:rsidRDefault="0059286E" w:rsidP="00B25021">
      <w:pPr>
        <w:pStyle w:val="DHHSbullet1"/>
      </w:pPr>
      <w:r w:rsidRPr="00B76A81">
        <w:t>disability support workers</w:t>
      </w:r>
    </w:p>
    <w:p w14:paraId="404C8F60" w14:textId="6DC106A9" w:rsidR="00FD640D" w:rsidRPr="00B76A81" w:rsidRDefault="0059286E" w:rsidP="00B25021">
      <w:pPr>
        <w:pStyle w:val="DHHSbullet1"/>
      </w:pPr>
      <w:r w:rsidRPr="00B76A81">
        <w:t xml:space="preserve">personal care attendants </w:t>
      </w:r>
    </w:p>
    <w:p w14:paraId="102A9A2F" w14:textId="729E5C6C" w:rsidR="0059286E" w:rsidRPr="00B76A81" w:rsidRDefault="0059286E" w:rsidP="00B25021">
      <w:pPr>
        <w:pStyle w:val="DHHSbullet1"/>
        <w:rPr>
          <w:b/>
          <w:bCs/>
        </w:rPr>
      </w:pPr>
      <w:r w:rsidRPr="00B76A81">
        <w:t>staff from supported residential services and rooming houses.</w:t>
      </w:r>
    </w:p>
    <w:p w14:paraId="4D69B5DF" w14:textId="77777777" w:rsidR="0059286E" w:rsidRPr="00B76A81" w:rsidRDefault="0059286E" w:rsidP="0059286E">
      <w:pPr>
        <w:pStyle w:val="Heading2"/>
        <w:rPr>
          <w:bCs/>
        </w:rPr>
      </w:pPr>
      <w:bookmarkStart w:id="30" w:name="_Toc474164919"/>
      <w:bookmarkStart w:id="31" w:name="_Toc45285658"/>
      <w:bookmarkStart w:id="32" w:name="_Toc51943054"/>
      <w:r w:rsidRPr="00B76A81">
        <w:rPr>
          <w:bCs/>
        </w:rPr>
        <w:t>Priority applications</w:t>
      </w:r>
      <w:bookmarkEnd w:id="30"/>
      <w:bookmarkEnd w:id="31"/>
      <w:bookmarkEnd w:id="32"/>
    </w:p>
    <w:p w14:paraId="758D14BF" w14:textId="65C17BC3" w:rsidR="0059286E" w:rsidRPr="00B76A81" w:rsidRDefault="0059286E" w:rsidP="00B25021">
      <w:pPr>
        <w:pStyle w:val="DHHSbody"/>
      </w:pPr>
      <w:r w:rsidRPr="00B76A81">
        <w:t xml:space="preserve">Priority processing of CSF applications may be warranted in specific cases of carer need. AMHS might prioritise </w:t>
      </w:r>
      <w:r w:rsidR="00E12798" w:rsidRPr="00B76A81">
        <w:t xml:space="preserve">cases </w:t>
      </w:r>
      <w:r w:rsidRPr="00B76A81">
        <w:t>where</w:t>
      </w:r>
      <w:r w:rsidR="007111E3" w:rsidRPr="00B76A81">
        <w:t xml:space="preserve"> </w:t>
      </w:r>
      <w:r w:rsidRPr="00B76A81">
        <w:t>the CSF application is urgent (</w:t>
      </w:r>
      <w:r w:rsidR="007111E3" w:rsidRPr="00B76A81">
        <w:t>for example,</w:t>
      </w:r>
      <w:r w:rsidRPr="00B76A81">
        <w:t xml:space="preserve"> if electricity is about to be cut off or if a carer does not have food available).</w:t>
      </w:r>
    </w:p>
    <w:p w14:paraId="4061E803" w14:textId="77777777" w:rsidR="0059286E" w:rsidRPr="00B76A81" w:rsidRDefault="0059286E" w:rsidP="006B65F6">
      <w:pPr>
        <w:pStyle w:val="DHHSbodyafterbullets"/>
      </w:pPr>
      <w:r w:rsidRPr="00B76A81">
        <w:t>In prioritising CSF applications, AMHS should consider:</w:t>
      </w:r>
    </w:p>
    <w:p w14:paraId="070E820D" w14:textId="77777777" w:rsidR="0059286E" w:rsidRPr="00B76A81" w:rsidRDefault="0059286E" w:rsidP="0059286E">
      <w:pPr>
        <w:pStyle w:val="DHHSbullet1"/>
      </w:pPr>
      <w:r w:rsidRPr="00B76A81">
        <w:t>periods of heightened carer need, such as consumer admission or instability</w:t>
      </w:r>
    </w:p>
    <w:p w14:paraId="529FE0B9" w14:textId="77777777" w:rsidR="0059286E" w:rsidRPr="00B76A81" w:rsidRDefault="0059286E" w:rsidP="0059286E">
      <w:pPr>
        <w:pStyle w:val="DHHSbullet1"/>
      </w:pPr>
      <w:r w:rsidRPr="00B76A81">
        <w:t>previous CSF payments to the carer and consumer</w:t>
      </w:r>
    </w:p>
    <w:p w14:paraId="5A7CF54B" w14:textId="261AC1C6" w:rsidR="0059286E" w:rsidRPr="00B76A81" w:rsidRDefault="0059286E" w:rsidP="0059286E">
      <w:pPr>
        <w:pStyle w:val="DHHSbullet1"/>
      </w:pPr>
      <w:r w:rsidRPr="00B76A81">
        <w:rPr>
          <w:position w:val="-1"/>
        </w:rPr>
        <w:t>the principles of fairness and equity</w:t>
      </w:r>
      <w:r w:rsidR="00590A4D" w:rsidRPr="00B76A81">
        <w:rPr>
          <w:position w:val="-1"/>
        </w:rPr>
        <w:t>.</w:t>
      </w:r>
    </w:p>
    <w:p w14:paraId="1F93A605" w14:textId="3AEDB536" w:rsidR="0059286E" w:rsidRPr="00B76A81" w:rsidRDefault="0059286E" w:rsidP="006B65F6">
      <w:pPr>
        <w:pStyle w:val="DHHSbodyafterbullets"/>
      </w:pPr>
      <w:r w:rsidRPr="00B76A81">
        <w:t xml:space="preserve">AMHS may also need to consider prioritising applications in times where available funds are low. During these periods, applications </w:t>
      </w:r>
      <w:r w:rsidR="00E12798" w:rsidRPr="00B76A81">
        <w:t>for</w:t>
      </w:r>
      <w:r w:rsidRPr="00B76A81">
        <w:t xml:space="preserve"> basic life needs should be prioritised over others.</w:t>
      </w:r>
    </w:p>
    <w:p w14:paraId="1479CC91" w14:textId="25F6E1EA" w:rsidR="0059286E" w:rsidRPr="00B76A81" w:rsidRDefault="007111E3" w:rsidP="0059286E">
      <w:pPr>
        <w:pStyle w:val="DHHSbullet1"/>
        <w:numPr>
          <w:ilvl w:val="0"/>
          <w:numId w:val="0"/>
        </w:numPr>
      </w:pPr>
      <w:r w:rsidRPr="00B25021">
        <w:rPr>
          <w:b/>
          <w:bCs/>
        </w:rPr>
        <w:t>Note</w:t>
      </w:r>
      <w:r w:rsidR="0059286E" w:rsidRPr="00B25021">
        <w:rPr>
          <w:b/>
          <w:bCs/>
        </w:rPr>
        <w:t>:</w:t>
      </w:r>
      <w:r w:rsidR="0059286E" w:rsidRPr="00B76A81">
        <w:t xml:space="preserve"> Should the available funding become limited, the CSF </w:t>
      </w:r>
      <w:r w:rsidR="00E12798" w:rsidRPr="00B76A81">
        <w:t>c</w:t>
      </w:r>
      <w:r w:rsidR="0059286E" w:rsidRPr="00B76A81">
        <w:t xml:space="preserve">entral </w:t>
      </w:r>
      <w:r w:rsidR="00E12798" w:rsidRPr="00B76A81">
        <w:t>a</w:t>
      </w:r>
      <w:r w:rsidR="0059286E" w:rsidRPr="00B76A81">
        <w:t>dministrator should be informed.</w:t>
      </w:r>
    </w:p>
    <w:p w14:paraId="06BFC281" w14:textId="77777777" w:rsidR="00BC6D08" w:rsidRDefault="00BC6D08">
      <w:pPr>
        <w:rPr>
          <w:rFonts w:ascii="Arial" w:hAnsi="Arial"/>
          <w:b/>
          <w:color w:val="004EA8"/>
          <w:sz w:val="28"/>
          <w:szCs w:val="28"/>
        </w:rPr>
      </w:pPr>
      <w:r>
        <w:br w:type="page"/>
      </w:r>
    </w:p>
    <w:p w14:paraId="492DE8EC" w14:textId="00C45364" w:rsidR="0059286E" w:rsidRPr="00B76A81" w:rsidRDefault="0059286E" w:rsidP="006B65F6">
      <w:pPr>
        <w:pStyle w:val="Heading2"/>
      </w:pPr>
      <w:bookmarkStart w:id="33" w:name="_Toc51943055"/>
      <w:r w:rsidRPr="00B76A81">
        <w:lastRenderedPageBreak/>
        <w:t>Other funding sources, concessions and benefits</w:t>
      </w:r>
      <w:bookmarkEnd w:id="33"/>
    </w:p>
    <w:p w14:paraId="014D7EFA" w14:textId="00D25B0C" w:rsidR="0059286E" w:rsidRPr="00B76A81" w:rsidRDefault="0059286E" w:rsidP="0059286E">
      <w:pPr>
        <w:pStyle w:val="DHHSbody"/>
      </w:pPr>
      <w:r w:rsidRPr="00B76A81">
        <w:t xml:space="preserve">A range of </w:t>
      </w:r>
      <w:hyperlink r:id="rId24" w:history="1">
        <w:r w:rsidRPr="00B76A81">
          <w:rPr>
            <w:rStyle w:val="Hyperlink"/>
          </w:rPr>
          <w:t>concessions</w:t>
        </w:r>
      </w:hyperlink>
      <w:r w:rsidRPr="00B76A81">
        <w:t xml:space="preserve"> </w:t>
      </w:r>
      <w:r w:rsidR="007111E3" w:rsidRPr="00B76A81">
        <w:t xml:space="preserve">&lt;https://services.dhhs.vic.gov.au/concessions-and-benefits&gt; </w:t>
      </w:r>
      <w:r w:rsidRPr="00B76A81">
        <w:t xml:space="preserve">are available to all Victorians on </w:t>
      </w:r>
      <w:r w:rsidR="00E12798" w:rsidRPr="00B76A81">
        <w:t xml:space="preserve">an </w:t>
      </w:r>
      <w:r w:rsidRPr="00B76A81">
        <w:t xml:space="preserve">low income or experiencing hardship </w:t>
      </w:r>
      <w:r w:rsidR="00E12798" w:rsidRPr="00B76A81">
        <w:t xml:space="preserve">who </w:t>
      </w:r>
      <w:r w:rsidRPr="00B76A81">
        <w:t xml:space="preserve">need help meeting the cost of living.  </w:t>
      </w:r>
    </w:p>
    <w:p w14:paraId="2E56EF2B" w14:textId="7E6FF18B" w:rsidR="0059286E" w:rsidRPr="00B76A81" w:rsidRDefault="0059286E" w:rsidP="006B65F6">
      <w:pPr>
        <w:pStyle w:val="DHHSbody"/>
      </w:pPr>
      <w:r w:rsidRPr="00B76A81">
        <w:t xml:space="preserve">The </w:t>
      </w:r>
      <w:hyperlink r:id="rId25" w:history="1">
        <w:r w:rsidRPr="00B76A81">
          <w:rPr>
            <w:rStyle w:val="Hyperlink"/>
          </w:rPr>
          <w:t>Utility Relief Grant Scheme</w:t>
        </w:r>
      </w:hyperlink>
      <w:r w:rsidRPr="00B76A81">
        <w:t xml:space="preserve"> </w:t>
      </w:r>
      <w:r w:rsidR="007111E3" w:rsidRPr="00B76A81">
        <w:t>&lt;</w:t>
      </w:r>
      <w:r w:rsidR="007111E3" w:rsidRPr="00402B35">
        <w:t>https://services.dhhs.vic.gov.au/utility-relief-grant-scheme</w:t>
      </w:r>
      <w:r w:rsidR="007111E3" w:rsidRPr="00B76A81">
        <w:t xml:space="preserve">&gt; </w:t>
      </w:r>
      <w:r w:rsidRPr="00B76A81">
        <w:t xml:space="preserve">and the </w:t>
      </w:r>
      <w:hyperlink r:id="rId26" w:history="1">
        <w:r w:rsidRPr="00B76A81">
          <w:rPr>
            <w:rStyle w:val="Hyperlink"/>
          </w:rPr>
          <w:t>Non-Mains Utility Relief Grant Scheme</w:t>
        </w:r>
      </w:hyperlink>
      <w:r w:rsidRPr="00B76A81">
        <w:t xml:space="preserve"> </w:t>
      </w:r>
      <w:r w:rsidR="00DC5A1F" w:rsidRPr="00B76A81">
        <w:t xml:space="preserve">&lt;https://services.dhhs.vic.gov.au/utility-relief-grant-scheme-non-mains&gt; </w:t>
      </w:r>
      <w:r w:rsidRPr="00B76A81">
        <w:t xml:space="preserve">provide assistance for domestic customers who </w:t>
      </w:r>
      <w:r w:rsidR="00E12798" w:rsidRPr="00B76A81">
        <w:t>cannot</w:t>
      </w:r>
      <w:r w:rsidRPr="00B76A81">
        <w:t xml:space="preserve"> pay their utility bills due</w:t>
      </w:r>
      <w:r w:rsidR="00E12798" w:rsidRPr="00B76A81">
        <w:t xml:space="preserve"> to</w:t>
      </w:r>
      <w:r w:rsidRPr="00B76A81">
        <w:t xml:space="preserve"> temporary financial </w:t>
      </w:r>
      <w:r w:rsidR="00E12798" w:rsidRPr="00B76A81">
        <w:t>difficulties</w:t>
      </w:r>
      <w:r w:rsidRPr="00B76A81">
        <w:t xml:space="preserve">. </w:t>
      </w:r>
    </w:p>
    <w:p w14:paraId="32971FBB" w14:textId="5938E50F" w:rsidR="0059286E" w:rsidRPr="00B76A81" w:rsidRDefault="0059286E" w:rsidP="006B65F6">
      <w:pPr>
        <w:pStyle w:val="DHHSbody"/>
      </w:pPr>
      <w:r w:rsidRPr="00B76A81">
        <w:t>A small, specific trust fund</w:t>
      </w:r>
      <w:r w:rsidR="00DC5A1F" w:rsidRPr="00B76A81">
        <w:t xml:space="preserve"> called the </w:t>
      </w:r>
      <w:hyperlink r:id="rId27" w:history="1">
        <w:r w:rsidR="00DC5A1F" w:rsidRPr="00B76A81">
          <w:rPr>
            <w:rStyle w:val="Hyperlink"/>
          </w:rPr>
          <w:t>Psychiatric Illness and Intellectual Disabilities Donations Trust Fund</w:t>
        </w:r>
      </w:hyperlink>
      <w:r w:rsidRPr="00B76A81">
        <w:t xml:space="preserve"> </w:t>
      </w:r>
      <w:r w:rsidR="00DC5A1F" w:rsidRPr="00B76A81">
        <w:t xml:space="preserve">&lt;https://www2.health.vic.gov.au/about/publications/policiesandguidelines/Psychiatric-Illness-and-Intellectual-Disabilities-Donations-Trust-Fund-PIIDDTF-general-guidelines&gt; </w:t>
      </w:r>
      <w:r w:rsidRPr="00B76A81">
        <w:t>benefit</w:t>
      </w:r>
      <w:r w:rsidR="00DC5A1F" w:rsidRPr="00B76A81">
        <w:t>s</w:t>
      </w:r>
      <w:r w:rsidRPr="00B76A81">
        <w:t xml:space="preserve"> consumers who are receiving case management support from designated </w:t>
      </w:r>
      <w:r w:rsidR="00E12798" w:rsidRPr="00B76A81">
        <w:t>AMHS</w:t>
      </w:r>
      <w:r w:rsidRPr="00B76A81">
        <w:t xml:space="preserve">. Applications are via the case manager.  </w:t>
      </w:r>
    </w:p>
    <w:p w14:paraId="50B49C1A" w14:textId="0B9FF8D9" w:rsidR="0059286E" w:rsidRPr="00B76A81" w:rsidRDefault="0059286E" w:rsidP="0059286E">
      <w:pPr>
        <w:pStyle w:val="Heading1"/>
      </w:pPr>
      <w:r w:rsidRPr="00B76A81">
        <w:br w:type="page"/>
      </w:r>
      <w:bookmarkStart w:id="34" w:name="_Toc474164920"/>
      <w:bookmarkStart w:id="35" w:name="_Toc45285659"/>
      <w:bookmarkStart w:id="36" w:name="_Toc51943056"/>
      <w:r w:rsidR="00590A4D" w:rsidRPr="00B76A81">
        <w:lastRenderedPageBreak/>
        <w:t>E</w:t>
      </w:r>
      <w:r w:rsidRPr="00B76A81">
        <w:t xml:space="preserve">xpenses covered under the </w:t>
      </w:r>
      <w:r w:rsidR="00B14DB5" w:rsidRPr="00B76A81">
        <w:t>fund</w:t>
      </w:r>
      <w:bookmarkEnd w:id="34"/>
      <w:bookmarkEnd w:id="35"/>
      <w:bookmarkEnd w:id="36"/>
    </w:p>
    <w:p w14:paraId="3BD5752D" w14:textId="319EA216" w:rsidR="0059286E" w:rsidRPr="0030464A" w:rsidRDefault="00DC5A1F" w:rsidP="0059286E">
      <w:pPr>
        <w:pStyle w:val="DHHSbody"/>
      </w:pPr>
      <w:r w:rsidRPr="00402B35">
        <w:t xml:space="preserve">Table </w:t>
      </w:r>
      <w:r w:rsidR="002E3906" w:rsidRPr="00402B35">
        <w:t>1</w:t>
      </w:r>
      <w:r w:rsidRPr="00402B35">
        <w:t xml:space="preserve"> lists the expenses that </w:t>
      </w:r>
      <w:r w:rsidR="0059286E" w:rsidRPr="0030464A">
        <w:t>the</w:t>
      </w:r>
      <w:r w:rsidR="0059286E" w:rsidRPr="00402B35">
        <w:t xml:space="preserve"> CS</w:t>
      </w:r>
      <w:r w:rsidR="0059286E" w:rsidRPr="0030464A">
        <w:t>F</w:t>
      </w:r>
      <w:r w:rsidR="0059286E" w:rsidRPr="00402B35">
        <w:t xml:space="preserve"> ma</w:t>
      </w:r>
      <w:r w:rsidR="0059286E" w:rsidRPr="0030464A">
        <w:t>y</w:t>
      </w:r>
      <w:r w:rsidR="0059286E" w:rsidRPr="00402B35">
        <w:t xml:space="preserve"> </w:t>
      </w:r>
      <w:r w:rsidRPr="0030464A">
        <w:t>cover</w:t>
      </w:r>
      <w:r w:rsidRPr="00B76A81">
        <w:t>.</w:t>
      </w:r>
      <w:r w:rsidR="0059286E" w:rsidRPr="00402B35">
        <w:t xml:space="preserve"> </w:t>
      </w:r>
      <w:r w:rsidRPr="00402B35">
        <w:t xml:space="preserve">However, </w:t>
      </w:r>
      <w:r w:rsidR="00F81623" w:rsidRPr="00402B35">
        <w:t>expenses</w:t>
      </w:r>
      <w:r w:rsidR="0059286E" w:rsidRPr="00402B35">
        <w:t xml:space="preserve"> </w:t>
      </w:r>
      <w:r w:rsidRPr="00402B35">
        <w:t xml:space="preserve">must </w:t>
      </w:r>
      <w:r w:rsidR="0059286E" w:rsidRPr="00402B35">
        <w:t>r</w:t>
      </w:r>
      <w:r w:rsidR="0059286E" w:rsidRPr="0030464A">
        <w:t>e</w:t>
      </w:r>
      <w:r w:rsidR="0059286E" w:rsidRPr="00402B35">
        <w:t>la</w:t>
      </w:r>
      <w:r w:rsidR="0059286E" w:rsidRPr="0030464A">
        <w:t>te</w:t>
      </w:r>
      <w:r w:rsidR="0059286E" w:rsidRPr="00402B35">
        <w:t xml:space="preserve"> t</w:t>
      </w:r>
      <w:r w:rsidR="0059286E" w:rsidRPr="0030464A">
        <w:t>o</w:t>
      </w:r>
      <w:r w:rsidR="0059286E" w:rsidRPr="00402B35">
        <w:t xml:space="preserve"> </w:t>
      </w:r>
      <w:r w:rsidR="0059286E" w:rsidRPr="0030464A">
        <w:t>t</w:t>
      </w:r>
      <w:r w:rsidR="0059286E" w:rsidRPr="00402B35">
        <w:t>h</w:t>
      </w:r>
      <w:r w:rsidR="0059286E" w:rsidRPr="0030464A">
        <w:t>e</w:t>
      </w:r>
      <w:r w:rsidR="0059286E" w:rsidRPr="00402B35">
        <w:t xml:space="preserve"> c</w:t>
      </w:r>
      <w:r w:rsidR="0059286E" w:rsidRPr="0030464A">
        <w:t>a</w:t>
      </w:r>
      <w:r w:rsidR="0059286E" w:rsidRPr="00402B35">
        <w:t>rin</w:t>
      </w:r>
      <w:r w:rsidR="0059286E" w:rsidRPr="0030464A">
        <w:t>g</w:t>
      </w:r>
      <w:r w:rsidR="0059286E" w:rsidRPr="00402B35">
        <w:t xml:space="preserve"> r</w:t>
      </w:r>
      <w:r w:rsidR="0059286E" w:rsidRPr="0030464A">
        <w:t>o</w:t>
      </w:r>
      <w:r w:rsidR="0059286E" w:rsidRPr="00402B35">
        <w:t>l</w:t>
      </w:r>
      <w:r w:rsidR="0059286E" w:rsidRPr="0030464A">
        <w:t>e</w:t>
      </w:r>
      <w:r w:rsidR="0059286E" w:rsidRPr="00402B35">
        <w:t xml:space="preserve"> a</w:t>
      </w:r>
      <w:r w:rsidR="0059286E" w:rsidRPr="0030464A">
        <w:t>nd to</w:t>
      </w:r>
      <w:r w:rsidR="0059286E" w:rsidRPr="00402B35">
        <w:t xml:space="preserve"> supporting</w:t>
      </w:r>
      <w:r w:rsidR="0059286E" w:rsidRPr="0030464A">
        <w:t xml:space="preserve"> the</w:t>
      </w:r>
      <w:r w:rsidR="0059286E" w:rsidRPr="00402B35">
        <w:t xml:space="preserve"> c</w:t>
      </w:r>
      <w:r w:rsidR="0059286E" w:rsidRPr="0030464A">
        <w:t>a</w:t>
      </w:r>
      <w:r w:rsidR="0059286E" w:rsidRPr="00402B35">
        <w:t>r</w:t>
      </w:r>
      <w:r w:rsidR="0059286E" w:rsidRPr="0030464A">
        <w:t>e</w:t>
      </w:r>
      <w:r w:rsidR="0059286E" w:rsidRPr="00402B35">
        <w:t>r’</w:t>
      </w:r>
      <w:r w:rsidR="0059286E" w:rsidRPr="0030464A">
        <w:t>s</w:t>
      </w:r>
      <w:r w:rsidR="0059286E" w:rsidRPr="00402B35">
        <w:t xml:space="preserve"> </w:t>
      </w:r>
      <w:r w:rsidR="0059286E" w:rsidRPr="0030464A">
        <w:t>he</w:t>
      </w:r>
      <w:r w:rsidR="0059286E" w:rsidRPr="00402B35">
        <w:t>alt</w:t>
      </w:r>
      <w:r w:rsidR="0059286E" w:rsidRPr="0030464A">
        <w:t>h</w:t>
      </w:r>
      <w:r w:rsidR="0059286E" w:rsidRPr="00402B35">
        <w:t xml:space="preserve"> </w:t>
      </w:r>
      <w:r w:rsidR="0059286E" w:rsidRPr="0030464A">
        <w:t>a</w:t>
      </w:r>
      <w:r w:rsidR="0059286E" w:rsidRPr="00402B35">
        <w:t>n</w:t>
      </w:r>
      <w:r w:rsidR="0059286E" w:rsidRPr="0030464A">
        <w:t>d</w:t>
      </w:r>
      <w:r w:rsidR="0059286E" w:rsidRPr="00402B35">
        <w:t xml:space="preserve"> well</w:t>
      </w:r>
      <w:r w:rsidR="0059286E" w:rsidRPr="0030464A">
        <w:t>b</w:t>
      </w:r>
      <w:r w:rsidR="0059286E" w:rsidRPr="00402B35">
        <w:t>ei</w:t>
      </w:r>
      <w:r w:rsidR="0059286E" w:rsidRPr="0030464A">
        <w:t>n</w:t>
      </w:r>
      <w:r w:rsidR="0059286E" w:rsidRPr="00402B35">
        <w:t>g</w:t>
      </w:r>
      <w:r w:rsidR="0059286E" w:rsidRPr="0030464A">
        <w:t>.</w:t>
      </w:r>
    </w:p>
    <w:p w14:paraId="53AA976B" w14:textId="604CF373" w:rsidR="00DC5A1F" w:rsidRPr="00B76A81" w:rsidRDefault="00DC5A1F" w:rsidP="00402B35">
      <w:pPr>
        <w:pStyle w:val="DHHStablecaption"/>
      </w:pPr>
      <w:r w:rsidRPr="00B76A81">
        <w:t xml:space="preserve">Table </w:t>
      </w:r>
      <w:r w:rsidR="002E3906" w:rsidRPr="00B76A81">
        <w:t>1</w:t>
      </w:r>
      <w:r w:rsidR="00F81623" w:rsidRPr="00B76A81">
        <w:t>:</w:t>
      </w:r>
      <w:r w:rsidRPr="00B76A81">
        <w:t xml:space="preserve"> Expenses covered by the Carer Support Fund</w:t>
      </w:r>
    </w:p>
    <w:tbl>
      <w:tblPr>
        <w:tblStyle w:val="TableGrid"/>
        <w:tblW w:w="9498" w:type="dxa"/>
        <w:tblLook w:val="04A0" w:firstRow="1" w:lastRow="0" w:firstColumn="1" w:lastColumn="0" w:noHBand="0" w:noVBand="1"/>
      </w:tblPr>
      <w:tblGrid>
        <w:gridCol w:w="2410"/>
        <w:gridCol w:w="7088"/>
      </w:tblGrid>
      <w:tr w:rsidR="0059286E" w:rsidRPr="00B76A81" w14:paraId="49ADB6CA" w14:textId="77777777" w:rsidTr="00E4171E">
        <w:trPr>
          <w:tblHeader/>
        </w:trPr>
        <w:tc>
          <w:tcPr>
            <w:tcW w:w="2410" w:type="dxa"/>
          </w:tcPr>
          <w:p w14:paraId="06FD1020" w14:textId="77777777" w:rsidR="0059286E" w:rsidRPr="00B76A81" w:rsidRDefault="0059286E" w:rsidP="008A3AE0">
            <w:pPr>
              <w:pStyle w:val="DHHStablecolhead"/>
            </w:pPr>
            <w:r w:rsidRPr="00B76A81">
              <w:t>Eligible CSF expenses</w:t>
            </w:r>
          </w:p>
        </w:tc>
        <w:tc>
          <w:tcPr>
            <w:tcW w:w="7088" w:type="dxa"/>
          </w:tcPr>
          <w:p w14:paraId="356047C2" w14:textId="77777777" w:rsidR="0059286E" w:rsidRPr="00B76A81" w:rsidRDefault="0059286E" w:rsidP="008A3AE0">
            <w:pPr>
              <w:pStyle w:val="DHHStablecolhead"/>
            </w:pPr>
            <w:r w:rsidRPr="00B76A81">
              <w:t>Examples</w:t>
            </w:r>
          </w:p>
        </w:tc>
      </w:tr>
      <w:tr w:rsidR="0059286E" w:rsidRPr="00B76A81" w14:paraId="4A75E6C3" w14:textId="77777777" w:rsidTr="00E4171E">
        <w:tc>
          <w:tcPr>
            <w:tcW w:w="2410" w:type="dxa"/>
          </w:tcPr>
          <w:p w14:paraId="284A5101" w14:textId="77777777" w:rsidR="0059286E" w:rsidRPr="00E4171E" w:rsidRDefault="0059286E" w:rsidP="004C48DD">
            <w:pPr>
              <w:pStyle w:val="DHHStabletext"/>
              <w:spacing w:before="40"/>
              <w:rPr>
                <w:b/>
                <w:bCs/>
              </w:rPr>
            </w:pPr>
            <w:r w:rsidRPr="00E4171E">
              <w:rPr>
                <w:b/>
                <w:bCs/>
              </w:rPr>
              <w:t>Accommodation</w:t>
            </w:r>
          </w:p>
        </w:tc>
        <w:tc>
          <w:tcPr>
            <w:tcW w:w="7088" w:type="dxa"/>
          </w:tcPr>
          <w:p w14:paraId="4612633D" w14:textId="44B856AF" w:rsidR="0059286E" w:rsidRPr="00B76A81" w:rsidRDefault="0059286E" w:rsidP="004C48DD">
            <w:pPr>
              <w:pStyle w:val="DHHStabletext"/>
              <w:spacing w:before="40"/>
            </w:pPr>
            <w:r w:rsidRPr="00B76A81">
              <w:t xml:space="preserve">Accommodation costs associated with visiting </w:t>
            </w:r>
            <w:r w:rsidR="00CE7DAF" w:rsidRPr="00B76A81">
              <w:t xml:space="preserve">the </w:t>
            </w:r>
            <w:r w:rsidRPr="00B76A81">
              <w:t>consumer in hospital or accompanying to medical appointments</w:t>
            </w:r>
          </w:p>
        </w:tc>
      </w:tr>
      <w:tr w:rsidR="0059286E" w:rsidRPr="00B76A81" w14:paraId="6E3F7E12" w14:textId="77777777" w:rsidTr="00E4171E">
        <w:tc>
          <w:tcPr>
            <w:tcW w:w="2410" w:type="dxa"/>
          </w:tcPr>
          <w:p w14:paraId="2822AB3F" w14:textId="6EE2493E" w:rsidR="0059286E" w:rsidRPr="00E4171E" w:rsidRDefault="0059286E" w:rsidP="004C48DD">
            <w:pPr>
              <w:pStyle w:val="DHHStabletext"/>
              <w:spacing w:before="40"/>
              <w:rPr>
                <w:b/>
                <w:bCs/>
              </w:rPr>
            </w:pPr>
            <w:r w:rsidRPr="00E4171E">
              <w:rPr>
                <w:b/>
                <w:bCs/>
              </w:rPr>
              <w:t>Carer conference, education</w:t>
            </w:r>
            <w:r w:rsidR="00CE7DAF" w:rsidRPr="00E4171E">
              <w:rPr>
                <w:b/>
                <w:bCs/>
              </w:rPr>
              <w:t>/</w:t>
            </w:r>
            <w:r w:rsidRPr="00E4171E">
              <w:rPr>
                <w:b/>
                <w:bCs/>
              </w:rPr>
              <w:t>training and meeting expenses</w:t>
            </w:r>
          </w:p>
        </w:tc>
        <w:tc>
          <w:tcPr>
            <w:tcW w:w="7088" w:type="dxa"/>
          </w:tcPr>
          <w:p w14:paraId="551052A6" w14:textId="483C7255" w:rsidR="0059286E" w:rsidRPr="00B76A81" w:rsidRDefault="0059286E" w:rsidP="004C48DD">
            <w:pPr>
              <w:pStyle w:val="DHHStabletext"/>
              <w:spacing w:before="40"/>
            </w:pPr>
            <w:r w:rsidRPr="00B76A81">
              <w:t>Carer conference and training registration fees and expenses (note exclusions below) for non-paid carers (this excludes carers in lived experience positions applying as part of their work role or those providing care on a fee</w:t>
            </w:r>
            <w:r w:rsidR="00CE7DAF" w:rsidRPr="00B76A81">
              <w:t>-</w:t>
            </w:r>
            <w:r w:rsidRPr="00B76A81">
              <w:t>for</w:t>
            </w:r>
            <w:r w:rsidR="00CE7DAF" w:rsidRPr="00B76A81">
              <w:t>-</w:t>
            </w:r>
            <w:r w:rsidRPr="00B76A81">
              <w:t>service basis)</w:t>
            </w:r>
          </w:p>
        </w:tc>
      </w:tr>
      <w:tr w:rsidR="0059286E" w:rsidRPr="00B76A81" w14:paraId="380437C5" w14:textId="77777777" w:rsidTr="00E4171E">
        <w:tc>
          <w:tcPr>
            <w:tcW w:w="2410" w:type="dxa"/>
          </w:tcPr>
          <w:p w14:paraId="14D47B97" w14:textId="77777777" w:rsidR="0059286E" w:rsidRPr="00E4171E" w:rsidRDefault="0059286E" w:rsidP="004C48DD">
            <w:pPr>
              <w:pStyle w:val="DHHStabletext"/>
              <w:spacing w:before="40"/>
              <w:rPr>
                <w:b/>
                <w:bCs/>
              </w:rPr>
            </w:pPr>
            <w:r w:rsidRPr="00E4171E">
              <w:rPr>
                <w:b/>
                <w:bCs/>
              </w:rPr>
              <w:t>Clothing and shoes</w:t>
            </w:r>
          </w:p>
        </w:tc>
        <w:tc>
          <w:tcPr>
            <w:tcW w:w="7088" w:type="dxa"/>
          </w:tcPr>
          <w:p w14:paraId="36961DDB" w14:textId="77777777" w:rsidR="0059286E" w:rsidRPr="00B76A81" w:rsidRDefault="0059286E" w:rsidP="004C48DD">
            <w:pPr>
              <w:pStyle w:val="DHHStabletext"/>
              <w:spacing w:before="40"/>
            </w:pPr>
            <w:r w:rsidRPr="00B76A81">
              <w:t xml:space="preserve">As identified by carer </w:t>
            </w:r>
          </w:p>
        </w:tc>
      </w:tr>
      <w:tr w:rsidR="0059286E" w:rsidRPr="00B76A81" w14:paraId="43AE0AB8" w14:textId="77777777" w:rsidTr="00E4171E">
        <w:tc>
          <w:tcPr>
            <w:tcW w:w="2410" w:type="dxa"/>
          </w:tcPr>
          <w:p w14:paraId="14DC58E9" w14:textId="77777777" w:rsidR="0059286E" w:rsidRPr="00E4171E" w:rsidRDefault="0059286E" w:rsidP="004C48DD">
            <w:pPr>
              <w:pStyle w:val="DHHStabletext"/>
              <w:spacing w:before="40"/>
              <w:rPr>
                <w:b/>
                <w:bCs/>
              </w:rPr>
            </w:pPr>
            <w:r w:rsidRPr="00E4171E">
              <w:rPr>
                <w:b/>
                <w:bCs/>
              </w:rPr>
              <w:t>Food and groceries</w:t>
            </w:r>
          </w:p>
        </w:tc>
        <w:tc>
          <w:tcPr>
            <w:tcW w:w="7088" w:type="dxa"/>
          </w:tcPr>
          <w:p w14:paraId="644B9C0A" w14:textId="77777777" w:rsidR="0059286E" w:rsidRPr="00B76A81" w:rsidRDefault="0059286E" w:rsidP="004C48DD">
            <w:pPr>
              <w:pStyle w:val="DHHStabletext"/>
              <w:spacing w:before="40"/>
            </w:pPr>
            <w:r w:rsidRPr="00B76A81">
              <w:t>As identified by carer</w:t>
            </w:r>
          </w:p>
        </w:tc>
      </w:tr>
      <w:tr w:rsidR="0059286E" w:rsidRPr="00B76A81" w14:paraId="3272CD29" w14:textId="77777777" w:rsidTr="00E4171E">
        <w:tc>
          <w:tcPr>
            <w:tcW w:w="2410" w:type="dxa"/>
          </w:tcPr>
          <w:p w14:paraId="06DDFB94" w14:textId="77777777" w:rsidR="0059286E" w:rsidRPr="00E4171E" w:rsidRDefault="0059286E" w:rsidP="004C48DD">
            <w:pPr>
              <w:pStyle w:val="DHHStabletext"/>
              <w:spacing w:before="40"/>
              <w:rPr>
                <w:b/>
                <w:bCs/>
              </w:rPr>
            </w:pPr>
            <w:r w:rsidRPr="00E4171E">
              <w:rPr>
                <w:b/>
                <w:bCs/>
              </w:rPr>
              <w:t>Funeral expenses</w:t>
            </w:r>
          </w:p>
        </w:tc>
        <w:tc>
          <w:tcPr>
            <w:tcW w:w="7088" w:type="dxa"/>
          </w:tcPr>
          <w:p w14:paraId="0D09223A" w14:textId="77777777" w:rsidR="0059286E" w:rsidRPr="00B76A81" w:rsidRDefault="0059286E" w:rsidP="004C48DD">
            <w:pPr>
              <w:pStyle w:val="DHHStabletext"/>
              <w:spacing w:before="40"/>
            </w:pPr>
            <w:r w:rsidRPr="00B76A81">
              <w:t>Or part thereof, as related to the consumer’s funeral</w:t>
            </w:r>
          </w:p>
        </w:tc>
      </w:tr>
      <w:tr w:rsidR="0059286E" w:rsidRPr="00B76A81" w14:paraId="0A922360" w14:textId="77777777" w:rsidTr="00E4171E">
        <w:tc>
          <w:tcPr>
            <w:tcW w:w="2410" w:type="dxa"/>
          </w:tcPr>
          <w:p w14:paraId="7935594F" w14:textId="77777777" w:rsidR="0059286E" w:rsidRPr="00E4171E" w:rsidRDefault="0059286E" w:rsidP="004C48DD">
            <w:pPr>
              <w:pStyle w:val="DHHStabletext"/>
              <w:spacing w:before="40"/>
              <w:rPr>
                <w:b/>
                <w:bCs/>
              </w:rPr>
            </w:pPr>
            <w:r w:rsidRPr="00E4171E">
              <w:rPr>
                <w:b/>
                <w:bCs/>
              </w:rPr>
              <w:t>Health and wellbeing expenses</w:t>
            </w:r>
          </w:p>
        </w:tc>
        <w:tc>
          <w:tcPr>
            <w:tcW w:w="7088" w:type="dxa"/>
          </w:tcPr>
          <w:p w14:paraId="0EB02D7A" w14:textId="51FB0AC2" w:rsidR="0059286E" w:rsidRPr="00B76A81" w:rsidRDefault="0059286E" w:rsidP="004C48DD">
            <w:pPr>
              <w:pStyle w:val="DHHStabletext"/>
              <w:spacing w:before="40"/>
            </w:pPr>
            <w:r w:rsidRPr="00B76A81">
              <w:t>These can include physical, dental, optical, mental health and pharmacy expenses</w:t>
            </w:r>
          </w:p>
          <w:p w14:paraId="17CD6BE0" w14:textId="77777777" w:rsidR="0059286E" w:rsidRPr="00B76A81" w:rsidRDefault="0059286E" w:rsidP="004C48DD">
            <w:pPr>
              <w:pStyle w:val="DHHStabletext"/>
              <w:spacing w:before="40"/>
            </w:pPr>
            <w:r w:rsidRPr="00B76A81">
              <w:t>Short-term counselling for a carer provided by a practitioner outside the mental health service to address the emotional and relationship impacts of caring for someone with a mental illness</w:t>
            </w:r>
          </w:p>
          <w:p w14:paraId="3EB03FF3" w14:textId="77777777" w:rsidR="0059286E" w:rsidRPr="00B76A81" w:rsidRDefault="0059286E" w:rsidP="004C48DD">
            <w:pPr>
              <w:pStyle w:val="DHHStabletext"/>
              <w:spacing w:before="40"/>
            </w:pPr>
            <w:r w:rsidRPr="00B76A81">
              <w:t>Wellbeing activities for carers, either individually or in groups, to access yoga, meditation, sport, art, music or other social/recreational activities to support their personal wellbeing</w:t>
            </w:r>
          </w:p>
        </w:tc>
      </w:tr>
      <w:tr w:rsidR="0059286E" w:rsidRPr="00B76A81" w14:paraId="3A69C50C" w14:textId="77777777" w:rsidTr="00E4171E">
        <w:tc>
          <w:tcPr>
            <w:tcW w:w="2410" w:type="dxa"/>
          </w:tcPr>
          <w:p w14:paraId="2363C20A" w14:textId="77777777" w:rsidR="0059286E" w:rsidRPr="00E4171E" w:rsidRDefault="0059286E" w:rsidP="004C48DD">
            <w:pPr>
              <w:pStyle w:val="DHHStabletext"/>
              <w:spacing w:before="40"/>
              <w:rPr>
                <w:b/>
                <w:bCs/>
              </w:rPr>
            </w:pPr>
            <w:r w:rsidRPr="00E4171E">
              <w:rPr>
                <w:b/>
                <w:bCs/>
              </w:rPr>
              <w:t>Household items</w:t>
            </w:r>
          </w:p>
        </w:tc>
        <w:tc>
          <w:tcPr>
            <w:tcW w:w="7088" w:type="dxa"/>
          </w:tcPr>
          <w:p w14:paraId="4517BAE5" w14:textId="77777777" w:rsidR="0059286E" w:rsidRPr="00B76A81" w:rsidRDefault="0059286E" w:rsidP="004C48DD">
            <w:pPr>
              <w:pStyle w:val="DHHStabletext"/>
              <w:spacing w:before="40"/>
            </w:pPr>
            <w:r w:rsidRPr="00B76A81">
              <w:t>Bedding, electrical appliances, white goods, computers (including hardware, internet fees, software)</w:t>
            </w:r>
          </w:p>
        </w:tc>
      </w:tr>
      <w:tr w:rsidR="0059286E" w:rsidRPr="00B76A81" w14:paraId="2469B274" w14:textId="77777777" w:rsidTr="00E4171E">
        <w:tc>
          <w:tcPr>
            <w:tcW w:w="2410" w:type="dxa"/>
          </w:tcPr>
          <w:p w14:paraId="06B93FBE" w14:textId="77777777" w:rsidR="0059286E" w:rsidRPr="00E4171E" w:rsidRDefault="0059286E" w:rsidP="004C48DD">
            <w:pPr>
              <w:pStyle w:val="DHHStabletext"/>
              <w:spacing w:before="40"/>
              <w:rPr>
                <w:b/>
                <w:bCs/>
              </w:rPr>
            </w:pPr>
            <w:r w:rsidRPr="00E4171E">
              <w:rPr>
                <w:b/>
                <w:bCs/>
              </w:rPr>
              <w:t>Household repairs and maintenance</w:t>
            </w:r>
          </w:p>
        </w:tc>
        <w:tc>
          <w:tcPr>
            <w:tcW w:w="7088" w:type="dxa"/>
          </w:tcPr>
          <w:p w14:paraId="0BCF2276" w14:textId="77777777" w:rsidR="0059286E" w:rsidRPr="00B76A81" w:rsidRDefault="0059286E" w:rsidP="004C48DD">
            <w:pPr>
              <w:pStyle w:val="DHHStabletext"/>
              <w:spacing w:before="40"/>
            </w:pPr>
            <w:r w:rsidRPr="00B76A81">
              <w:t>Cleaning, lawn mowing, repairs</w:t>
            </w:r>
          </w:p>
        </w:tc>
      </w:tr>
      <w:tr w:rsidR="0059286E" w:rsidRPr="00B76A81" w14:paraId="50914E8E" w14:textId="77777777" w:rsidTr="00E4171E">
        <w:tc>
          <w:tcPr>
            <w:tcW w:w="2410" w:type="dxa"/>
          </w:tcPr>
          <w:p w14:paraId="05EFDEB7" w14:textId="77777777" w:rsidR="0059286E" w:rsidRPr="00E4171E" w:rsidRDefault="0059286E" w:rsidP="004C48DD">
            <w:pPr>
              <w:pStyle w:val="DHHStabletext"/>
              <w:spacing w:before="40"/>
              <w:rPr>
                <w:b/>
                <w:bCs/>
              </w:rPr>
            </w:pPr>
            <w:r w:rsidRPr="00E4171E">
              <w:rPr>
                <w:b/>
                <w:bCs/>
              </w:rPr>
              <w:t>Household utility bills and rates</w:t>
            </w:r>
          </w:p>
        </w:tc>
        <w:tc>
          <w:tcPr>
            <w:tcW w:w="7088" w:type="dxa"/>
          </w:tcPr>
          <w:p w14:paraId="5E3FCC66" w14:textId="26D89330" w:rsidR="0059286E" w:rsidRPr="00B76A81" w:rsidRDefault="0059286E" w:rsidP="004C48DD">
            <w:pPr>
              <w:pStyle w:val="DHHStabletext"/>
              <w:spacing w:before="40"/>
            </w:pPr>
            <w:r w:rsidRPr="00B76A81">
              <w:t>Includes telephone (mobile and landline fees, rental), gas, electricity, water and rates</w:t>
            </w:r>
          </w:p>
        </w:tc>
      </w:tr>
      <w:tr w:rsidR="0059286E" w:rsidRPr="00B76A81" w14:paraId="2632D89A" w14:textId="77777777" w:rsidTr="00E4171E">
        <w:tc>
          <w:tcPr>
            <w:tcW w:w="2410" w:type="dxa"/>
          </w:tcPr>
          <w:p w14:paraId="717F6DD5" w14:textId="77777777" w:rsidR="0059286E" w:rsidRPr="00E4171E" w:rsidRDefault="0059286E" w:rsidP="004C48DD">
            <w:pPr>
              <w:pStyle w:val="DHHStabletext"/>
              <w:spacing w:before="40"/>
              <w:rPr>
                <w:b/>
                <w:bCs/>
              </w:rPr>
            </w:pPr>
            <w:r w:rsidRPr="00E4171E">
              <w:rPr>
                <w:b/>
                <w:bCs/>
              </w:rPr>
              <w:t>Insurances</w:t>
            </w:r>
          </w:p>
        </w:tc>
        <w:tc>
          <w:tcPr>
            <w:tcW w:w="7088" w:type="dxa"/>
          </w:tcPr>
          <w:p w14:paraId="40A572D3" w14:textId="77777777" w:rsidR="0059286E" w:rsidRPr="00B76A81" w:rsidRDefault="0059286E" w:rsidP="004C48DD">
            <w:pPr>
              <w:pStyle w:val="DHHStabletext"/>
              <w:spacing w:before="40"/>
            </w:pPr>
            <w:r w:rsidRPr="00B76A81">
              <w:t>Includes health, home and contents, income, Ambulance Victoria membership and charges</w:t>
            </w:r>
          </w:p>
        </w:tc>
      </w:tr>
      <w:tr w:rsidR="0059286E" w:rsidRPr="00B76A81" w14:paraId="389EBD4C" w14:textId="77777777" w:rsidTr="00E4171E">
        <w:tc>
          <w:tcPr>
            <w:tcW w:w="2410" w:type="dxa"/>
          </w:tcPr>
          <w:p w14:paraId="07AC5E85" w14:textId="7A3DFA5D" w:rsidR="0059286E" w:rsidRPr="00E4171E" w:rsidRDefault="0059286E" w:rsidP="004C48DD">
            <w:pPr>
              <w:pStyle w:val="DHHStabletext"/>
              <w:spacing w:before="40"/>
              <w:rPr>
                <w:b/>
                <w:bCs/>
              </w:rPr>
            </w:pPr>
            <w:r w:rsidRPr="00E4171E">
              <w:rPr>
                <w:b/>
                <w:bCs/>
              </w:rPr>
              <w:t>Rent/mortgage payments</w:t>
            </w:r>
          </w:p>
        </w:tc>
        <w:tc>
          <w:tcPr>
            <w:tcW w:w="7088" w:type="dxa"/>
          </w:tcPr>
          <w:p w14:paraId="7AB2CE3C" w14:textId="77777777" w:rsidR="0059286E" w:rsidRPr="00B76A81" w:rsidRDefault="0059286E" w:rsidP="004C48DD">
            <w:pPr>
              <w:pStyle w:val="DHHStabletext"/>
              <w:spacing w:before="40"/>
            </w:pPr>
            <w:r w:rsidRPr="00B76A81">
              <w:t>For the family home</w:t>
            </w:r>
          </w:p>
        </w:tc>
      </w:tr>
      <w:tr w:rsidR="0059286E" w:rsidRPr="00B76A81" w14:paraId="5B947229" w14:textId="77777777" w:rsidTr="00E4171E">
        <w:tc>
          <w:tcPr>
            <w:tcW w:w="2410" w:type="dxa"/>
          </w:tcPr>
          <w:p w14:paraId="3CD0DCDC" w14:textId="77777777" w:rsidR="0059286E" w:rsidRPr="00E4171E" w:rsidRDefault="0059286E" w:rsidP="004C48DD">
            <w:pPr>
              <w:pStyle w:val="DHHStabletext"/>
              <w:spacing w:before="40"/>
              <w:rPr>
                <w:b/>
                <w:bCs/>
              </w:rPr>
            </w:pPr>
            <w:r w:rsidRPr="00E4171E">
              <w:rPr>
                <w:b/>
                <w:bCs/>
              </w:rPr>
              <w:t>Respite expenses</w:t>
            </w:r>
          </w:p>
        </w:tc>
        <w:tc>
          <w:tcPr>
            <w:tcW w:w="7088" w:type="dxa"/>
          </w:tcPr>
          <w:p w14:paraId="33B5AC01" w14:textId="0A630EC9" w:rsidR="0059286E" w:rsidRPr="00B76A81" w:rsidRDefault="0059286E" w:rsidP="004C48DD">
            <w:pPr>
              <w:pStyle w:val="DHHStabletext"/>
              <w:spacing w:before="40"/>
            </w:pPr>
            <w:r w:rsidRPr="00B76A81">
              <w:t>Opportunities for carers to have a break from the caring role</w:t>
            </w:r>
            <w:r w:rsidR="00B371B6" w:rsidRPr="00B76A81">
              <w:t xml:space="preserve"> (</w:t>
            </w:r>
            <w:r w:rsidRPr="00B76A81">
              <w:t>can include support in the home or in the community</w:t>
            </w:r>
            <w:r w:rsidR="00B371B6" w:rsidRPr="00B76A81">
              <w:t>)</w:t>
            </w:r>
          </w:p>
        </w:tc>
      </w:tr>
      <w:tr w:rsidR="0059286E" w:rsidRPr="00B76A81" w14:paraId="36064D72" w14:textId="77777777" w:rsidTr="00E4171E">
        <w:tc>
          <w:tcPr>
            <w:tcW w:w="2410" w:type="dxa"/>
          </w:tcPr>
          <w:p w14:paraId="68EC79E4" w14:textId="77777777" w:rsidR="0059286E" w:rsidRPr="00E4171E" w:rsidRDefault="0059286E" w:rsidP="004C48DD">
            <w:pPr>
              <w:pStyle w:val="DHHStabletext"/>
              <w:spacing w:before="40"/>
              <w:rPr>
                <w:b/>
                <w:bCs/>
              </w:rPr>
            </w:pPr>
            <w:r w:rsidRPr="00E4171E">
              <w:rPr>
                <w:b/>
                <w:bCs/>
              </w:rPr>
              <w:t xml:space="preserve">Sitting fees </w:t>
            </w:r>
          </w:p>
        </w:tc>
        <w:tc>
          <w:tcPr>
            <w:tcW w:w="7088" w:type="dxa"/>
          </w:tcPr>
          <w:p w14:paraId="7DC0BA3A" w14:textId="77777777" w:rsidR="00CE7DAF" w:rsidRPr="00B76A81" w:rsidRDefault="0059286E" w:rsidP="004C48DD">
            <w:pPr>
              <w:pStyle w:val="DHHStabletext"/>
              <w:spacing w:before="40"/>
            </w:pPr>
            <w:r w:rsidRPr="00B76A81">
              <w:t>Until the end of December 2020, sitting fees will be paid for carers who participate as carer representatives on advisory groups as part of the local service participation</w:t>
            </w:r>
          </w:p>
          <w:p w14:paraId="530D085A" w14:textId="4015EA9B" w:rsidR="0059286E" w:rsidRPr="00B76A81" w:rsidRDefault="0059286E" w:rsidP="004C48DD">
            <w:pPr>
              <w:pStyle w:val="DHHStabletext"/>
              <w:spacing w:before="40"/>
            </w:pPr>
            <w:r w:rsidRPr="00B76A81">
              <w:t>From 1 January 2021, sitting fees cannot be paid by the fund</w:t>
            </w:r>
            <w:r w:rsidR="00CE7DAF" w:rsidRPr="00B76A81">
              <w:t xml:space="preserve"> –</w:t>
            </w:r>
            <w:r w:rsidRPr="00B76A81">
              <w:t xml:space="preserve"> these fees </w:t>
            </w:r>
            <w:r w:rsidR="00B34C7A" w:rsidRPr="00B76A81">
              <w:t xml:space="preserve">should </w:t>
            </w:r>
            <w:r w:rsidRPr="00B76A81">
              <w:t>be paid for by the service as part of their consumer carer participation</w:t>
            </w:r>
          </w:p>
        </w:tc>
      </w:tr>
      <w:tr w:rsidR="0059286E" w:rsidRPr="00B76A81" w14:paraId="4C64D4A0" w14:textId="77777777" w:rsidTr="00E4171E">
        <w:tc>
          <w:tcPr>
            <w:tcW w:w="2410" w:type="dxa"/>
          </w:tcPr>
          <w:p w14:paraId="2AD5E5B5" w14:textId="77777777" w:rsidR="0059286E" w:rsidRPr="00E4171E" w:rsidRDefault="0059286E" w:rsidP="004C48DD">
            <w:pPr>
              <w:pStyle w:val="DHHStabletext"/>
              <w:spacing w:before="40"/>
              <w:rPr>
                <w:b/>
                <w:bCs/>
              </w:rPr>
            </w:pPr>
            <w:r w:rsidRPr="00E4171E">
              <w:rPr>
                <w:b/>
                <w:bCs/>
              </w:rPr>
              <w:t>Transport</w:t>
            </w:r>
          </w:p>
        </w:tc>
        <w:tc>
          <w:tcPr>
            <w:tcW w:w="7088" w:type="dxa"/>
          </w:tcPr>
          <w:p w14:paraId="6ADA1BAE" w14:textId="6594232A" w:rsidR="0059286E" w:rsidRPr="00B76A81" w:rsidRDefault="0059286E" w:rsidP="004C48DD">
            <w:pPr>
              <w:pStyle w:val="DHHStabletext"/>
              <w:spacing w:before="40"/>
            </w:pPr>
            <w:r w:rsidRPr="00B76A81">
              <w:t>Airfares</w:t>
            </w:r>
            <w:r w:rsidR="00B34C7A" w:rsidRPr="00B76A81">
              <w:t xml:space="preserve"> or</w:t>
            </w:r>
            <w:r w:rsidRPr="00B76A81">
              <w:t xml:space="preserve"> train, bus, tram, taxi or other transport costs associated with visiting the person in hospital or accompanying them to medical appointments</w:t>
            </w:r>
          </w:p>
        </w:tc>
      </w:tr>
      <w:tr w:rsidR="0059286E" w:rsidRPr="00B76A81" w14:paraId="49D33C40" w14:textId="77777777" w:rsidTr="00E4171E">
        <w:tc>
          <w:tcPr>
            <w:tcW w:w="2410" w:type="dxa"/>
          </w:tcPr>
          <w:p w14:paraId="533DE60D" w14:textId="77777777" w:rsidR="0059286E" w:rsidRPr="00E4171E" w:rsidRDefault="0059286E" w:rsidP="004C48DD">
            <w:pPr>
              <w:pStyle w:val="DHHStabletext"/>
              <w:spacing w:before="40"/>
              <w:rPr>
                <w:b/>
                <w:bCs/>
              </w:rPr>
            </w:pPr>
            <w:r w:rsidRPr="00E4171E">
              <w:rPr>
                <w:b/>
                <w:bCs/>
              </w:rPr>
              <w:t>Vehicle expenses</w:t>
            </w:r>
          </w:p>
        </w:tc>
        <w:tc>
          <w:tcPr>
            <w:tcW w:w="7088" w:type="dxa"/>
          </w:tcPr>
          <w:p w14:paraId="08AF5818" w14:textId="77777777" w:rsidR="0059286E" w:rsidRPr="00B76A81" w:rsidRDefault="0059286E" w:rsidP="004C48DD">
            <w:pPr>
              <w:pStyle w:val="DHHStabletext"/>
              <w:spacing w:before="40"/>
            </w:pPr>
            <w:r w:rsidRPr="00B76A81">
              <w:t>Insurance, repairs, registration, petrol</w:t>
            </w:r>
          </w:p>
        </w:tc>
      </w:tr>
      <w:tr w:rsidR="0059286E" w:rsidRPr="00B76A81" w14:paraId="76E5EC8D" w14:textId="77777777" w:rsidTr="00E4171E">
        <w:tc>
          <w:tcPr>
            <w:tcW w:w="2410" w:type="dxa"/>
          </w:tcPr>
          <w:p w14:paraId="47BB518B" w14:textId="77777777" w:rsidR="0059286E" w:rsidRPr="00E4171E" w:rsidRDefault="0059286E" w:rsidP="004C48DD">
            <w:pPr>
              <w:pStyle w:val="DHHStabletext"/>
              <w:spacing w:before="40"/>
              <w:rPr>
                <w:b/>
                <w:bCs/>
              </w:rPr>
            </w:pPr>
            <w:r w:rsidRPr="00E4171E">
              <w:rPr>
                <w:b/>
                <w:bCs/>
              </w:rPr>
              <w:t>Vouchers</w:t>
            </w:r>
          </w:p>
        </w:tc>
        <w:tc>
          <w:tcPr>
            <w:tcW w:w="7088" w:type="dxa"/>
          </w:tcPr>
          <w:p w14:paraId="783429B8" w14:textId="77777777" w:rsidR="0059286E" w:rsidRPr="00B76A81" w:rsidRDefault="0059286E" w:rsidP="004C48DD">
            <w:pPr>
              <w:pStyle w:val="DHHStabletext"/>
              <w:spacing w:before="40"/>
            </w:pPr>
            <w:r w:rsidRPr="00B76A81">
              <w:t>Vouchers including taxi petrol vouchers, store cards and movie tickets</w:t>
            </w:r>
          </w:p>
          <w:p w14:paraId="04316B16" w14:textId="77777777" w:rsidR="0059286E" w:rsidRPr="00B76A81" w:rsidRDefault="0059286E" w:rsidP="004C48DD">
            <w:pPr>
              <w:pStyle w:val="DHHStabletext"/>
              <w:spacing w:before="40"/>
            </w:pPr>
            <w:r w:rsidRPr="00B76A81">
              <w:t>Voucher caps apply to carers, consumers and larger AMHS – refer to CSF voucher policy</w:t>
            </w:r>
          </w:p>
        </w:tc>
      </w:tr>
    </w:tbl>
    <w:p w14:paraId="6DB0DAF3" w14:textId="77777777" w:rsidR="0059286E" w:rsidRPr="00B76A81" w:rsidRDefault="0059286E" w:rsidP="0059286E">
      <w:pPr>
        <w:pStyle w:val="DHHSbodyaftertablefigure"/>
      </w:pPr>
      <w:r w:rsidRPr="00B76A81">
        <w:lastRenderedPageBreak/>
        <w:t>Where an initial application has been unsuccessful, applications may be revised and resubmitted. Carers and staff should ensure such applications fall clearly within the CSF guidelines.</w:t>
      </w:r>
    </w:p>
    <w:p w14:paraId="34CC94B0" w14:textId="7F15F891" w:rsidR="0059286E" w:rsidRPr="00B76A81" w:rsidRDefault="00B14DB5" w:rsidP="0059286E">
      <w:pPr>
        <w:pStyle w:val="Heading2"/>
      </w:pPr>
      <w:bookmarkStart w:id="37" w:name="_Toc474164921"/>
      <w:bookmarkStart w:id="38" w:name="_Toc45285660"/>
      <w:bookmarkStart w:id="39" w:name="_Toc51943057"/>
      <w:r w:rsidRPr="00B76A81">
        <w:t>E</w:t>
      </w:r>
      <w:r w:rsidR="0059286E" w:rsidRPr="00B76A81">
        <w:t>xclusions</w:t>
      </w:r>
      <w:bookmarkEnd w:id="37"/>
      <w:bookmarkEnd w:id="38"/>
      <w:bookmarkEnd w:id="39"/>
    </w:p>
    <w:p w14:paraId="342F13B1" w14:textId="4908215A" w:rsidR="0059286E" w:rsidRPr="00B76A81" w:rsidRDefault="0059286E" w:rsidP="0059286E">
      <w:pPr>
        <w:pStyle w:val="DHHSbody"/>
      </w:pPr>
      <w:r w:rsidRPr="00B76A81">
        <w:t xml:space="preserve">The fund may </w:t>
      </w:r>
      <w:r w:rsidRPr="00B76A81">
        <w:rPr>
          <w:rStyle w:val="Strong"/>
        </w:rPr>
        <w:t xml:space="preserve">not </w:t>
      </w:r>
      <w:r w:rsidRPr="00B76A81">
        <w:t>be used:</w:t>
      </w:r>
    </w:p>
    <w:p w14:paraId="0D1336CF" w14:textId="52388BD2" w:rsidR="0059286E" w:rsidRPr="00B76A81" w:rsidRDefault="0059286E" w:rsidP="0059286E">
      <w:pPr>
        <w:pStyle w:val="DHHSbullet1"/>
      </w:pPr>
      <w:r w:rsidRPr="00B76A81">
        <w:t xml:space="preserve">to fund expenses beyond the eligible CSF expenses (identified in </w:t>
      </w:r>
      <w:r w:rsidR="002B6985" w:rsidRPr="00B76A81">
        <w:t>T</w:t>
      </w:r>
      <w:r w:rsidRPr="00B76A81">
        <w:t xml:space="preserve">able </w:t>
      </w:r>
      <w:r w:rsidR="002B6985" w:rsidRPr="00B76A81">
        <w:t>1</w:t>
      </w:r>
      <w:r w:rsidRPr="00B76A81">
        <w:t>)</w:t>
      </w:r>
    </w:p>
    <w:p w14:paraId="352A5DF2" w14:textId="77777777" w:rsidR="0059286E" w:rsidRPr="00B76A81" w:rsidRDefault="0059286E" w:rsidP="0059286E">
      <w:pPr>
        <w:pStyle w:val="DHHSbullet1"/>
      </w:pPr>
      <w:r w:rsidRPr="00B76A81">
        <w:t>to fund a service or activity already funded by the department or the Commonwealth</w:t>
      </w:r>
    </w:p>
    <w:p w14:paraId="3562CFFA" w14:textId="5E58E20F" w:rsidR="0059286E" w:rsidRPr="00B76A81" w:rsidRDefault="0059286E" w:rsidP="0059286E">
      <w:pPr>
        <w:pStyle w:val="DHHSbullet1"/>
      </w:pPr>
      <w:r w:rsidRPr="00B76A81">
        <w:t xml:space="preserve">to fund costs covered by other material aid providers (see the department’s list of </w:t>
      </w:r>
      <w:hyperlink r:id="rId28" w:history="1">
        <w:r w:rsidRPr="00B76A81">
          <w:rPr>
            <w:rStyle w:val="Hyperlink"/>
          </w:rPr>
          <w:t>Individual Assistance Available in Victoria</w:t>
        </w:r>
      </w:hyperlink>
      <w:r w:rsidRPr="00B76A81">
        <w:t xml:space="preserve"> &lt;http://www.dhs.vic.gov.au/for-individuals&gt;)</w:t>
      </w:r>
    </w:p>
    <w:p w14:paraId="2AD1731A" w14:textId="77777777" w:rsidR="0059286E" w:rsidRPr="00B76A81" w:rsidRDefault="0059286E" w:rsidP="0059286E">
      <w:pPr>
        <w:pStyle w:val="DHHSbullet1"/>
      </w:pPr>
      <w:r w:rsidRPr="00B76A81">
        <w:t>for services that are the responsibility of the AMHS</w:t>
      </w:r>
    </w:p>
    <w:p w14:paraId="403978A6" w14:textId="77777777" w:rsidR="0059286E" w:rsidRPr="00B76A81" w:rsidRDefault="0059286E" w:rsidP="0059286E">
      <w:pPr>
        <w:pStyle w:val="DHHSbullet1"/>
      </w:pPr>
      <w:r w:rsidRPr="00B76A81">
        <w:t>to benefit consumers only</w:t>
      </w:r>
    </w:p>
    <w:p w14:paraId="77D647BA" w14:textId="77777777" w:rsidR="0059286E" w:rsidRPr="00B76A81" w:rsidRDefault="0059286E" w:rsidP="0059286E">
      <w:pPr>
        <w:pStyle w:val="DHHSbullet1"/>
      </w:pPr>
      <w:r w:rsidRPr="00B76A81">
        <w:t>for items or activities arising from criminal activity or in breach of the law</w:t>
      </w:r>
    </w:p>
    <w:p w14:paraId="728A9916" w14:textId="77777777" w:rsidR="0059286E" w:rsidRPr="00B76A81" w:rsidRDefault="0059286E" w:rsidP="0059286E">
      <w:pPr>
        <w:pStyle w:val="DHHSbullet1"/>
      </w:pPr>
      <w:r w:rsidRPr="00B76A81">
        <w:t>to fund carers employed by mental health services to attend professional development activities or work-related conferences (this type of expense is the responsibility of the AMHS).</w:t>
      </w:r>
    </w:p>
    <w:p w14:paraId="4A1FDE32" w14:textId="02BE9814" w:rsidR="0059286E" w:rsidRPr="00B76A81" w:rsidRDefault="0059286E" w:rsidP="006B65F6">
      <w:pPr>
        <w:pStyle w:val="DHHSbodyafterbullets"/>
      </w:pPr>
      <w:r w:rsidRPr="00B76A81">
        <w:rPr>
          <w:rStyle w:val="Strong"/>
        </w:rPr>
        <w:t>Note</w:t>
      </w:r>
      <w:r w:rsidRPr="00B76A81">
        <w:t xml:space="preserve">, however, that the fund </w:t>
      </w:r>
      <w:r w:rsidRPr="00B76A81">
        <w:rPr>
          <w:rStyle w:val="Strong"/>
        </w:rPr>
        <w:t>may</w:t>
      </w:r>
      <w:r w:rsidRPr="00B76A81">
        <w:rPr>
          <w:b/>
          <w:bCs/>
        </w:rPr>
        <w:t xml:space="preserve"> </w:t>
      </w:r>
      <w:r w:rsidRPr="00B76A81">
        <w:t xml:space="preserve">be used to fund applications </w:t>
      </w:r>
      <w:r w:rsidR="002B6985" w:rsidRPr="00B76A81">
        <w:t xml:space="preserve">to </w:t>
      </w:r>
      <w:r w:rsidRPr="00B76A81">
        <w:t xml:space="preserve">attend a </w:t>
      </w:r>
      <w:proofErr w:type="spellStart"/>
      <w:r w:rsidRPr="00B76A81">
        <w:t>carer</w:t>
      </w:r>
      <w:proofErr w:type="spellEnd"/>
      <w:r w:rsidRPr="00B76A81">
        <w:t xml:space="preserve">-directed event where the carer will be attending for their personal benefit as a </w:t>
      </w:r>
      <w:r w:rsidRPr="00B76A81">
        <w:rPr>
          <w:rStyle w:val="Strong"/>
        </w:rPr>
        <w:t>carer</w:t>
      </w:r>
      <w:r w:rsidRPr="00B76A81">
        <w:t>.</w:t>
      </w:r>
    </w:p>
    <w:p w14:paraId="439C1215" w14:textId="77777777" w:rsidR="0059286E" w:rsidRPr="00B76A81" w:rsidRDefault="0059286E" w:rsidP="0059286E">
      <w:pPr>
        <w:pStyle w:val="Heading2"/>
      </w:pPr>
      <w:bookmarkStart w:id="40" w:name="_Toc474164922"/>
      <w:bookmarkStart w:id="41" w:name="_Toc45285661"/>
      <w:bookmarkStart w:id="42" w:name="_Toc51943058"/>
      <w:r w:rsidRPr="00B76A81">
        <w:t>Assessing requests</w:t>
      </w:r>
      <w:bookmarkEnd w:id="40"/>
      <w:bookmarkEnd w:id="41"/>
      <w:bookmarkEnd w:id="42"/>
    </w:p>
    <w:p w14:paraId="556E9B60" w14:textId="77777777" w:rsidR="0059286E" w:rsidRPr="00B76A81" w:rsidRDefault="0059286E" w:rsidP="0059286E">
      <w:pPr>
        <w:pStyle w:val="DHHSbody"/>
      </w:pPr>
      <w:r w:rsidRPr="00B76A81">
        <w:t>As CSF funds allocated to AMHS are limited, the following considerations may assist in assessing requests:</w:t>
      </w:r>
    </w:p>
    <w:p w14:paraId="0F4B935C" w14:textId="64DCE711" w:rsidR="0059286E" w:rsidRPr="00B76A81" w:rsidRDefault="0059286E" w:rsidP="0059286E">
      <w:pPr>
        <w:pStyle w:val="DHHSbullet1"/>
      </w:pPr>
      <w:r w:rsidRPr="00B76A81">
        <w:t xml:space="preserve">Has the availability of other </w:t>
      </w:r>
      <w:r w:rsidR="002B6985" w:rsidRPr="00B76A81">
        <w:t xml:space="preserve">funding </w:t>
      </w:r>
      <w:r w:rsidRPr="00B76A81">
        <w:t xml:space="preserve">sources been considered? </w:t>
      </w:r>
    </w:p>
    <w:p w14:paraId="6160EFF6" w14:textId="0999730A" w:rsidR="0059286E" w:rsidRPr="00B76A81" w:rsidRDefault="0059286E" w:rsidP="0059286E">
      <w:pPr>
        <w:pStyle w:val="DHHSbullet1"/>
      </w:pPr>
      <w:r w:rsidRPr="00B76A81">
        <w:t>Do the goods or services assist the carer in relation to their caring role and in supporting their health and wellbeing?</w:t>
      </w:r>
    </w:p>
    <w:p w14:paraId="5EE28B67" w14:textId="77777777" w:rsidR="0059286E" w:rsidRPr="00B76A81" w:rsidRDefault="0059286E" w:rsidP="0059286E">
      <w:pPr>
        <w:pStyle w:val="DHHSbullet1"/>
      </w:pPr>
      <w:r w:rsidRPr="00B76A81">
        <w:t>Does the assistance meet an immediate need or avert a potential crisis?</w:t>
      </w:r>
    </w:p>
    <w:p w14:paraId="340AE2DC" w14:textId="5EDEF46A" w:rsidR="0059286E" w:rsidRPr="00B76A81" w:rsidRDefault="0059286E" w:rsidP="0059286E">
      <w:pPr>
        <w:pStyle w:val="DHHSbullet1"/>
      </w:pPr>
      <w:r w:rsidRPr="00B76A81">
        <w:t xml:space="preserve">Are the goods or services of reasonable standard and cost? </w:t>
      </w:r>
    </w:p>
    <w:p w14:paraId="20ADCFBD" w14:textId="316FAC29" w:rsidR="0059286E" w:rsidRPr="00B76A81" w:rsidRDefault="0059286E" w:rsidP="0059286E">
      <w:pPr>
        <w:pStyle w:val="DHHSbullet1"/>
      </w:pPr>
      <w:r w:rsidRPr="00B76A81">
        <w:t>Is the application within the recommended carer cap, consumer cap and AMHS cap? (see CSF payment caps below</w:t>
      </w:r>
      <w:r w:rsidRPr="00B76A81">
        <w:rPr>
          <w:w w:val="99"/>
        </w:rPr>
        <w:t>)</w:t>
      </w:r>
      <w:r w:rsidR="002B6985" w:rsidRPr="00B76A81">
        <w:rPr>
          <w:w w:val="99"/>
        </w:rPr>
        <w:t>.</w:t>
      </w:r>
    </w:p>
    <w:p w14:paraId="000FECE0" w14:textId="0E22340A" w:rsidR="0059286E" w:rsidRPr="00B76A81" w:rsidRDefault="0059286E" w:rsidP="006B65F6">
      <w:pPr>
        <w:pStyle w:val="DHHSbodyafterbullets"/>
      </w:pPr>
      <w:r w:rsidRPr="00B76A81">
        <w:t xml:space="preserve">Should an </w:t>
      </w:r>
      <w:r w:rsidR="002B6985" w:rsidRPr="00B76A81">
        <w:t>AMHS’s</w:t>
      </w:r>
      <w:r w:rsidRPr="00B76A81">
        <w:t xml:space="preserve"> overall CSF </w:t>
      </w:r>
      <w:r w:rsidR="002B6985" w:rsidRPr="00B76A81">
        <w:t xml:space="preserve">funds </w:t>
      </w:r>
      <w:r w:rsidRPr="00B76A81">
        <w:t xml:space="preserve">be fully </w:t>
      </w:r>
      <w:r w:rsidR="002B6985" w:rsidRPr="00B76A81">
        <w:t>allocated</w:t>
      </w:r>
      <w:r w:rsidRPr="00B76A81">
        <w:t xml:space="preserve">, the AMHS </w:t>
      </w:r>
      <w:r w:rsidR="002B6985" w:rsidRPr="00B76A81">
        <w:t xml:space="preserve">should </w:t>
      </w:r>
      <w:r w:rsidRPr="00B76A81">
        <w:t xml:space="preserve">contact the CSF </w:t>
      </w:r>
      <w:r w:rsidR="002B6985" w:rsidRPr="00B76A81">
        <w:t>a</w:t>
      </w:r>
      <w:r w:rsidRPr="00B76A81">
        <w:t>dministrator at Tandem.</w:t>
      </w:r>
    </w:p>
    <w:p w14:paraId="5E5DBE21" w14:textId="77777777" w:rsidR="00B14DB5" w:rsidRPr="00B76A81" w:rsidRDefault="00B14DB5" w:rsidP="006B65F6">
      <w:pPr>
        <w:pStyle w:val="DHHSbody"/>
        <w:rPr>
          <w:color w:val="004EA8"/>
          <w:sz w:val="44"/>
          <w:szCs w:val="44"/>
        </w:rPr>
      </w:pPr>
      <w:bookmarkStart w:id="43" w:name="_Toc474164923"/>
      <w:bookmarkStart w:id="44" w:name="_Toc45285662"/>
      <w:r w:rsidRPr="00B76A81">
        <w:br w:type="page"/>
      </w:r>
    </w:p>
    <w:p w14:paraId="7BE4C226" w14:textId="5133293E" w:rsidR="0059286E" w:rsidRPr="00B76A81" w:rsidRDefault="00B14DB5" w:rsidP="0059286E">
      <w:pPr>
        <w:pStyle w:val="Heading1"/>
      </w:pPr>
      <w:bookmarkStart w:id="45" w:name="_Toc51943059"/>
      <w:r w:rsidRPr="00B76A81">
        <w:lastRenderedPageBreak/>
        <w:t>P</w:t>
      </w:r>
      <w:r w:rsidR="0059286E" w:rsidRPr="00B76A81">
        <w:t>ayment caps</w:t>
      </w:r>
      <w:bookmarkEnd w:id="43"/>
      <w:bookmarkEnd w:id="44"/>
      <w:bookmarkEnd w:id="45"/>
    </w:p>
    <w:p w14:paraId="11F92EC8" w14:textId="77777777" w:rsidR="0059286E" w:rsidRPr="00B76A81" w:rsidRDefault="0059286E" w:rsidP="0059286E">
      <w:pPr>
        <w:pStyle w:val="Heading2"/>
      </w:pPr>
      <w:bookmarkStart w:id="46" w:name="_Toc474164924"/>
      <w:bookmarkStart w:id="47" w:name="_Toc45285663"/>
      <w:bookmarkStart w:id="48" w:name="_Toc51943060"/>
      <w:r w:rsidRPr="00B76A81">
        <w:t>Carer applications</w:t>
      </w:r>
      <w:bookmarkEnd w:id="46"/>
      <w:bookmarkEnd w:id="47"/>
      <w:bookmarkEnd w:id="48"/>
    </w:p>
    <w:p w14:paraId="37A0E266" w14:textId="73C516D4" w:rsidR="0059286E" w:rsidRPr="00B76A81" w:rsidRDefault="0059286E" w:rsidP="0059286E">
      <w:pPr>
        <w:pStyle w:val="DHHSbody"/>
      </w:pPr>
      <w:r w:rsidRPr="0030464A">
        <w:t>C</w:t>
      </w:r>
      <w:r w:rsidRPr="00402B35">
        <w:t>S</w:t>
      </w:r>
      <w:r w:rsidRPr="0030464A">
        <w:t>F</w:t>
      </w:r>
      <w:r w:rsidRPr="00402B35">
        <w:t xml:space="preserve"> a</w:t>
      </w:r>
      <w:r w:rsidRPr="0030464A">
        <w:t>pp</w:t>
      </w:r>
      <w:r w:rsidRPr="00402B35">
        <w:t>lic</w:t>
      </w:r>
      <w:r w:rsidRPr="0030464A">
        <w:t>a</w:t>
      </w:r>
      <w:r w:rsidRPr="00402B35">
        <w:t>ti</w:t>
      </w:r>
      <w:r w:rsidRPr="0030464A">
        <w:t>ons</w:t>
      </w:r>
      <w:r w:rsidRPr="00402B35">
        <w:t xml:space="preserve"> fr</w:t>
      </w:r>
      <w:r w:rsidRPr="0030464A">
        <w:t xml:space="preserve">om </w:t>
      </w:r>
      <w:r w:rsidRPr="00402B35">
        <w:t>i</w:t>
      </w:r>
      <w:r w:rsidRPr="0030464A">
        <w:t>nd</w:t>
      </w:r>
      <w:r w:rsidRPr="00402B35">
        <w:t>ivi</w:t>
      </w:r>
      <w:r w:rsidRPr="0030464A">
        <w:t>d</w:t>
      </w:r>
      <w:r w:rsidRPr="00402B35">
        <w:t>u</w:t>
      </w:r>
      <w:r w:rsidRPr="0030464A">
        <w:t>al</w:t>
      </w:r>
      <w:r w:rsidRPr="00402B35">
        <w:t xml:space="preserve"> c</w:t>
      </w:r>
      <w:r w:rsidRPr="0030464A">
        <w:t>a</w:t>
      </w:r>
      <w:r w:rsidRPr="00402B35">
        <w:t>r</w:t>
      </w:r>
      <w:r w:rsidRPr="0030464A">
        <w:t>e</w:t>
      </w:r>
      <w:r w:rsidRPr="00402B35">
        <w:t>r</w:t>
      </w:r>
      <w:r w:rsidRPr="0030464A">
        <w:t>s</w:t>
      </w:r>
      <w:r w:rsidRPr="00402B35">
        <w:t xml:space="preserve"> h</w:t>
      </w:r>
      <w:r w:rsidRPr="0030464A">
        <w:t>a</w:t>
      </w:r>
      <w:r w:rsidRPr="00402B35">
        <w:t>v</w:t>
      </w:r>
      <w:r w:rsidRPr="0030464A">
        <w:t>e</w:t>
      </w:r>
      <w:r w:rsidRPr="00402B35">
        <w:t xml:space="preserve"> </w:t>
      </w:r>
      <w:r w:rsidRPr="0030464A">
        <w:t>a</w:t>
      </w:r>
      <w:r w:rsidRPr="00402B35">
        <w:t xml:space="preserve"> </w:t>
      </w:r>
      <w:r w:rsidRPr="00402B35">
        <w:rPr>
          <w:b/>
          <w:bCs/>
        </w:rPr>
        <w:t>r</w:t>
      </w:r>
      <w:r w:rsidRPr="0030464A">
        <w:rPr>
          <w:b/>
          <w:bCs/>
        </w:rPr>
        <w:t>e</w:t>
      </w:r>
      <w:r w:rsidRPr="00402B35">
        <w:rPr>
          <w:b/>
          <w:bCs/>
        </w:rPr>
        <w:t>c</w:t>
      </w:r>
      <w:r w:rsidRPr="0030464A">
        <w:rPr>
          <w:b/>
          <w:bCs/>
        </w:rPr>
        <w:t>o</w:t>
      </w:r>
      <w:r w:rsidRPr="00402B35">
        <w:rPr>
          <w:b/>
          <w:bCs/>
        </w:rPr>
        <w:t>mm</w:t>
      </w:r>
      <w:r w:rsidRPr="0030464A">
        <w:rPr>
          <w:b/>
          <w:bCs/>
        </w:rPr>
        <w:t>ended</w:t>
      </w:r>
      <w:r w:rsidRPr="00402B35">
        <w:t xml:space="preserve"> c</w:t>
      </w:r>
      <w:r w:rsidRPr="0030464A">
        <w:t>ap</w:t>
      </w:r>
      <w:r w:rsidRPr="00402B35">
        <w:t xml:space="preserve"> </w:t>
      </w:r>
      <w:r w:rsidRPr="0030464A">
        <w:t>of $</w:t>
      </w:r>
      <w:r w:rsidRPr="00402B35">
        <w:t>8</w:t>
      </w:r>
      <w:r w:rsidRPr="0030464A">
        <w:t>50</w:t>
      </w:r>
      <w:r w:rsidRPr="00402B35">
        <w:t xml:space="preserve"> p</w:t>
      </w:r>
      <w:r w:rsidRPr="0030464A">
        <w:t>er</w:t>
      </w:r>
      <w:r w:rsidRPr="00402B35">
        <w:t xml:space="preserve"> </w:t>
      </w:r>
      <w:r w:rsidRPr="0030464A">
        <w:t>a</w:t>
      </w:r>
      <w:r w:rsidRPr="00402B35">
        <w:t>p</w:t>
      </w:r>
      <w:r w:rsidRPr="0030464A">
        <w:t>p</w:t>
      </w:r>
      <w:r w:rsidRPr="00402B35">
        <w:t>lica</w:t>
      </w:r>
      <w:r w:rsidRPr="0030464A">
        <w:t>t</w:t>
      </w:r>
      <w:r w:rsidRPr="00402B35">
        <w:t>io</w:t>
      </w:r>
      <w:r w:rsidRPr="0030464A">
        <w:t>n.</w:t>
      </w:r>
      <w:r w:rsidRPr="00402B35">
        <w:t xml:space="preserve"> AMHS may apply a </w:t>
      </w:r>
      <w:r w:rsidR="000A235B" w:rsidRPr="00B76A81">
        <w:t>lower</w:t>
      </w:r>
      <w:r w:rsidR="000A235B" w:rsidRPr="00402B35">
        <w:t xml:space="preserve"> </w:t>
      </w:r>
      <w:r w:rsidRPr="00402B35">
        <w:t xml:space="preserve">cap. </w:t>
      </w:r>
      <w:r w:rsidRPr="0030464A">
        <w:t xml:space="preserve">Apart from </w:t>
      </w:r>
      <w:r w:rsidRPr="0030464A">
        <w:rPr>
          <w:rStyle w:val="Strong"/>
        </w:rPr>
        <w:t>exceptional</w:t>
      </w:r>
      <w:r w:rsidRPr="00E13209">
        <w:t xml:space="preserve"> circumstances, applica</w:t>
      </w:r>
      <w:r w:rsidRPr="00A657A8">
        <w:t xml:space="preserve">tions for </w:t>
      </w:r>
      <w:r w:rsidRPr="00B76A81">
        <w:t xml:space="preserve">carers must not </w:t>
      </w:r>
      <w:r w:rsidR="000A235B" w:rsidRPr="00B76A81">
        <w:t>go over</w:t>
      </w:r>
      <w:r w:rsidR="000A235B" w:rsidRPr="0030464A">
        <w:t xml:space="preserve"> </w:t>
      </w:r>
      <w:r w:rsidRPr="0030464A">
        <w:t>$1</w:t>
      </w:r>
      <w:r w:rsidRPr="00E13209">
        <w:t>,000 in a</w:t>
      </w:r>
      <w:r w:rsidRPr="00A657A8">
        <w:t xml:space="preserve"> financial ye</w:t>
      </w:r>
      <w:r w:rsidRPr="00B76A81">
        <w:t>ar.</w:t>
      </w:r>
    </w:p>
    <w:p w14:paraId="321A3F25" w14:textId="5FABDB35" w:rsidR="0059286E" w:rsidRPr="00B76A81" w:rsidRDefault="000A235B" w:rsidP="0059286E">
      <w:pPr>
        <w:pStyle w:val="DHHSbody"/>
      </w:pPr>
      <w:r w:rsidRPr="00B76A81">
        <w:t xml:space="preserve">If </w:t>
      </w:r>
      <w:r w:rsidR="0059286E" w:rsidRPr="00B76A81">
        <w:t xml:space="preserve">a carer is responsible for </w:t>
      </w:r>
      <w:r w:rsidRPr="00B76A81">
        <w:t xml:space="preserve">more than one </w:t>
      </w:r>
      <w:r w:rsidR="0059286E" w:rsidRPr="00B76A81">
        <w:t>consumer, the</w:t>
      </w:r>
      <w:r w:rsidRPr="00B76A81">
        <w:t xml:space="preserve">y are eligible for </w:t>
      </w:r>
      <w:r w:rsidR="0059286E" w:rsidRPr="00B76A81">
        <w:t>$1,000 per financial year for each consumer.</w:t>
      </w:r>
    </w:p>
    <w:p w14:paraId="33F52AFC" w14:textId="63150784" w:rsidR="0059286E" w:rsidRPr="00B76A81" w:rsidRDefault="0059286E" w:rsidP="0059286E">
      <w:pPr>
        <w:pStyle w:val="DHHSbody"/>
      </w:pPr>
      <w:r w:rsidRPr="00B76A81">
        <w:t xml:space="preserve">Where there are multiple carers for a single consumer, the upper limit of $1,000 applies per consumer each financial year (see details in </w:t>
      </w:r>
      <w:r w:rsidR="003E72D6" w:rsidRPr="00B76A81">
        <w:t>Table 2</w:t>
      </w:r>
      <w:r w:rsidRPr="00B76A81">
        <w:t>)</w:t>
      </w:r>
      <w:r w:rsidR="003E72D6" w:rsidRPr="00B76A81">
        <w:t>.</w:t>
      </w:r>
    </w:p>
    <w:p w14:paraId="5F7ED665" w14:textId="5B119CF7" w:rsidR="0059286E" w:rsidRPr="00B76A81" w:rsidRDefault="004F614D" w:rsidP="0059286E">
      <w:pPr>
        <w:pStyle w:val="DHHSbody"/>
      </w:pPr>
      <w:r w:rsidRPr="00B76A81">
        <w:t xml:space="preserve">The local AMHS CSF coordinator is responsible </w:t>
      </w:r>
      <w:r w:rsidR="0059286E" w:rsidRPr="00B76A81">
        <w:t xml:space="preserve">for ensuring compliance with the carer cap. </w:t>
      </w:r>
      <w:bookmarkStart w:id="49" w:name="_Hlk42948894"/>
      <w:r w:rsidR="0059286E" w:rsidRPr="00B76A81">
        <w:t xml:space="preserve">Services may apply lower caps to maximise funds reach across the year. </w:t>
      </w:r>
    </w:p>
    <w:bookmarkEnd w:id="49"/>
    <w:p w14:paraId="643965B9" w14:textId="2CE23D17" w:rsidR="0059286E" w:rsidRPr="00B76A81" w:rsidRDefault="0059286E" w:rsidP="006B65F6">
      <w:pPr>
        <w:pStyle w:val="DHHSbody"/>
      </w:pPr>
      <w:r w:rsidRPr="00B76A81">
        <w:t>Tandem will also oversee compliance.</w:t>
      </w:r>
    </w:p>
    <w:p w14:paraId="7E4E53EC" w14:textId="52187732" w:rsidR="002E3906" w:rsidRPr="00B76A81" w:rsidRDefault="002E3906" w:rsidP="00402B35">
      <w:pPr>
        <w:pStyle w:val="DHHStablecaption"/>
      </w:pPr>
      <w:r w:rsidRPr="00B76A81">
        <w:t xml:space="preserve">Table 2: </w:t>
      </w:r>
      <w:r w:rsidR="003E72D6" w:rsidRPr="00B76A81">
        <w:t>Annual c</w:t>
      </w:r>
      <w:r w:rsidR="009E580A" w:rsidRPr="00B76A81">
        <w:t>aps for carer payments</w:t>
      </w:r>
    </w:p>
    <w:tbl>
      <w:tblPr>
        <w:tblStyle w:val="TableGrid"/>
        <w:tblpPr w:leftFromText="180" w:rightFromText="180" w:vertAnchor="text" w:horzAnchor="margin" w:tblpY="29"/>
        <w:tblW w:w="9356" w:type="dxa"/>
        <w:tblLayout w:type="fixed"/>
        <w:tblLook w:val="01E0" w:firstRow="1" w:lastRow="1" w:firstColumn="1" w:lastColumn="1" w:noHBand="0" w:noVBand="0"/>
      </w:tblPr>
      <w:tblGrid>
        <w:gridCol w:w="5949"/>
        <w:gridCol w:w="3407"/>
      </w:tblGrid>
      <w:tr w:rsidR="0059286E" w:rsidRPr="00B76A81" w14:paraId="7A381AE2" w14:textId="77777777" w:rsidTr="004C48DD">
        <w:trPr>
          <w:trHeight w:hRule="exact" w:val="401"/>
        </w:trPr>
        <w:tc>
          <w:tcPr>
            <w:tcW w:w="5949" w:type="dxa"/>
          </w:tcPr>
          <w:p w14:paraId="09005835" w14:textId="77777777" w:rsidR="0059286E" w:rsidRPr="00B76A81" w:rsidRDefault="0059286E" w:rsidP="008A3AE0">
            <w:pPr>
              <w:pStyle w:val="DHHStablecolhead"/>
            </w:pPr>
            <w:r w:rsidRPr="00B76A81">
              <w:t>Carer status</w:t>
            </w:r>
          </w:p>
        </w:tc>
        <w:tc>
          <w:tcPr>
            <w:tcW w:w="3407" w:type="dxa"/>
          </w:tcPr>
          <w:p w14:paraId="6D448F3D" w14:textId="77777777" w:rsidR="0059286E" w:rsidRPr="00B76A81" w:rsidRDefault="0059286E" w:rsidP="008A3AE0">
            <w:pPr>
              <w:pStyle w:val="DHHStablecolhead"/>
            </w:pPr>
            <w:r w:rsidRPr="00B76A81">
              <w:t>Cap per year</w:t>
            </w:r>
          </w:p>
        </w:tc>
      </w:tr>
      <w:tr w:rsidR="0059286E" w:rsidRPr="00B76A81" w14:paraId="20BFC59A" w14:textId="77777777" w:rsidTr="004C48DD">
        <w:trPr>
          <w:trHeight w:val="404"/>
        </w:trPr>
        <w:tc>
          <w:tcPr>
            <w:tcW w:w="5949" w:type="dxa"/>
          </w:tcPr>
          <w:p w14:paraId="556C3687" w14:textId="77777777" w:rsidR="0059286E" w:rsidRPr="00B76A81" w:rsidRDefault="0059286E" w:rsidP="008A3AE0">
            <w:pPr>
              <w:pStyle w:val="DHHStabletext"/>
            </w:pPr>
            <w:r w:rsidRPr="00B76A81">
              <w:t>Carer of a mental health consumer</w:t>
            </w:r>
          </w:p>
        </w:tc>
        <w:tc>
          <w:tcPr>
            <w:tcW w:w="3407" w:type="dxa"/>
          </w:tcPr>
          <w:p w14:paraId="3374BE92" w14:textId="68364A6A" w:rsidR="0059286E" w:rsidRPr="00B76A81" w:rsidRDefault="0059286E" w:rsidP="008A3AE0">
            <w:pPr>
              <w:pStyle w:val="DHHStabletext"/>
            </w:pPr>
            <w:r w:rsidRPr="00B76A81">
              <w:t>$1,000 ex</w:t>
            </w:r>
            <w:r w:rsidR="00BA42C0" w:rsidRPr="00B76A81">
              <w:t>cluding</w:t>
            </w:r>
            <w:r w:rsidRPr="00B76A81">
              <w:t xml:space="preserve"> GST</w:t>
            </w:r>
          </w:p>
        </w:tc>
      </w:tr>
      <w:tr w:rsidR="0059286E" w:rsidRPr="00B76A81" w14:paraId="1DD684C5" w14:textId="77777777" w:rsidTr="004C48DD">
        <w:trPr>
          <w:trHeight w:val="305"/>
        </w:trPr>
        <w:tc>
          <w:tcPr>
            <w:tcW w:w="5949" w:type="dxa"/>
          </w:tcPr>
          <w:p w14:paraId="780C6142" w14:textId="77777777" w:rsidR="0059286E" w:rsidRPr="00B76A81" w:rsidRDefault="0059286E" w:rsidP="008A3AE0">
            <w:pPr>
              <w:pStyle w:val="DHHStabletext"/>
            </w:pPr>
            <w:r w:rsidRPr="00B76A81">
              <w:t>Carer of multiple mental health consumers</w:t>
            </w:r>
          </w:p>
        </w:tc>
        <w:tc>
          <w:tcPr>
            <w:tcW w:w="3407" w:type="dxa"/>
          </w:tcPr>
          <w:p w14:paraId="0DFC29A6" w14:textId="0550211D" w:rsidR="0059286E" w:rsidRPr="00B76A81" w:rsidRDefault="0059286E" w:rsidP="008A3AE0">
            <w:pPr>
              <w:pStyle w:val="DHHStabletext"/>
            </w:pPr>
            <w:r w:rsidRPr="00B76A81">
              <w:t>$1,000 per consumer ex</w:t>
            </w:r>
            <w:r w:rsidR="00BA42C0" w:rsidRPr="00B76A81">
              <w:t>cluding</w:t>
            </w:r>
            <w:r w:rsidRPr="00B76A81">
              <w:t xml:space="preserve"> GST</w:t>
            </w:r>
          </w:p>
        </w:tc>
      </w:tr>
      <w:tr w:rsidR="0059286E" w:rsidRPr="00B76A81" w14:paraId="7643F7F2" w14:textId="77777777" w:rsidTr="004C48DD">
        <w:trPr>
          <w:trHeight w:val="624"/>
        </w:trPr>
        <w:tc>
          <w:tcPr>
            <w:tcW w:w="5949" w:type="dxa"/>
          </w:tcPr>
          <w:p w14:paraId="49B04DA3" w14:textId="4A18A02C" w:rsidR="0059286E" w:rsidRPr="00B76A81" w:rsidRDefault="0059286E" w:rsidP="008A3AE0">
            <w:pPr>
              <w:pStyle w:val="DHHStabletext"/>
            </w:pPr>
            <w:r w:rsidRPr="00B76A81">
              <w:t xml:space="preserve">Multiple carers of a mental health consumer (the $1,000 will be </w:t>
            </w:r>
            <w:r w:rsidRPr="00B76A81">
              <w:rPr>
                <w:b/>
                <w:bCs/>
              </w:rPr>
              <w:t>divided between</w:t>
            </w:r>
            <w:r w:rsidRPr="00B76A81">
              <w:t xml:space="preserve"> those carers who provide support to the one consumer family member</w:t>
            </w:r>
            <w:r w:rsidR="000A235B" w:rsidRPr="00B76A81">
              <w:t xml:space="preserve"> or </w:t>
            </w:r>
            <w:r w:rsidRPr="00B76A81">
              <w:t>friend)</w:t>
            </w:r>
          </w:p>
        </w:tc>
        <w:tc>
          <w:tcPr>
            <w:tcW w:w="3407" w:type="dxa"/>
          </w:tcPr>
          <w:p w14:paraId="0B9F386A" w14:textId="1DFAD7BC" w:rsidR="0059286E" w:rsidRPr="00B76A81" w:rsidRDefault="0059286E" w:rsidP="008A3AE0">
            <w:pPr>
              <w:pStyle w:val="DHHStabletext"/>
            </w:pPr>
            <w:r w:rsidRPr="00B76A81">
              <w:t>$1,000 per consumer ex</w:t>
            </w:r>
            <w:r w:rsidR="00BA42C0" w:rsidRPr="00B76A81">
              <w:t>cluding</w:t>
            </w:r>
            <w:r w:rsidRPr="00B76A81">
              <w:t xml:space="preserve"> GST</w:t>
            </w:r>
          </w:p>
        </w:tc>
      </w:tr>
    </w:tbl>
    <w:p w14:paraId="257E90C2" w14:textId="4360D873" w:rsidR="0059286E" w:rsidRPr="00B76A81" w:rsidRDefault="0059286E" w:rsidP="0059286E">
      <w:pPr>
        <w:pStyle w:val="DHHSbodyaftertablefigure"/>
      </w:pPr>
      <w:r w:rsidRPr="00B76A81">
        <w:t xml:space="preserve">Carer claims </w:t>
      </w:r>
      <w:r w:rsidR="004F614D" w:rsidRPr="00B76A81">
        <w:t xml:space="preserve">over </w:t>
      </w:r>
      <w:r w:rsidRPr="00B76A81">
        <w:t xml:space="preserve">$850 per application will be considered when </w:t>
      </w:r>
      <w:r w:rsidR="000A235B" w:rsidRPr="00B76A81">
        <w:t xml:space="preserve">exceptional </w:t>
      </w:r>
      <w:r w:rsidRPr="00B76A81">
        <w:t>circumstances are documented. Written information support</w:t>
      </w:r>
      <w:r w:rsidR="000A235B" w:rsidRPr="00B76A81">
        <w:t>ing</w:t>
      </w:r>
      <w:r w:rsidRPr="00B76A81">
        <w:t xml:space="preserve"> the circumstances </w:t>
      </w:r>
      <w:r w:rsidR="000A235B" w:rsidRPr="00B76A81">
        <w:t xml:space="preserve">must be included with </w:t>
      </w:r>
      <w:r w:rsidRPr="00B76A81">
        <w:t>the application. AMHS staff should prepare this statement in consultation with carers.</w:t>
      </w:r>
    </w:p>
    <w:p w14:paraId="0384332E" w14:textId="453C0864" w:rsidR="0059286E" w:rsidRPr="00B76A81" w:rsidRDefault="004F614D" w:rsidP="0059286E">
      <w:pPr>
        <w:pStyle w:val="DHHSbody"/>
      </w:pPr>
      <w:r w:rsidRPr="00B76A81">
        <w:t>AMHS approve a</w:t>
      </w:r>
      <w:r w:rsidR="0059286E" w:rsidRPr="00B76A81">
        <w:t xml:space="preserve">pplications with </w:t>
      </w:r>
      <w:r w:rsidR="000A235B" w:rsidRPr="00B76A81">
        <w:t xml:space="preserve">exceptional </w:t>
      </w:r>
      <w:r w:rsidR="0059286E" w:rsidRPr="00B76A81">
        <w:t xml:space="preserve">circumstances. Part or full payment of the application </w:t>
      </w:r>
      <w:r w:rsidR="000A235B" w:rsidRPr="00B76A81">
        <w:t xml:space="preserve">over </w:t>
      </w:r>
      <w:r w:rsidR="0059286E" w:rsidRPr="00B76A81">
        <w:t xml:space="preserve">the $850 limit should be assessed according to what is reasonable and </w:t>
      </w:r>
      <w:r w:rsidR="000A235B" w:rsidRPr="00B76A81">
        <w:t xml:space="preserve">along </w:t>
      </w:r>
      <w:r w:rsidR="0059286E" w:rsidRPr="00B76A81">
        <w:t xml:space="preserve">normal decision-making </w:t>
      </w:r>
      <w:r w:rsidR="000A235B" w:rsidRPr="00B76A81">
        <w:t>lines</w:t>
      </w:r>
      <w:r w:rsidR="0059286E" w:rsidRPr="00B76A81">
        <w:t xml:space="preserve">. Appeals against AMHS decisions </w:t>
      </w:r>
      <w:r w:rsidR="005D75AD" w:rsidRPr="00B76A81">
        <w:t>should be directed to</w:t>
      </w:r>
      <w:r w:rsidR="0059286E" w:rsidRPr="00B76A81">
        <w:t xml:space="preserve"> the AMHS and</w:t>
      </w:r>
      <w:r w:rsidR="005D75AD" w:rsidRPr="00B76A81">
        <w:t>, if needed,</w:t>
      </w:r>
      <w:r w:rsidR="0059286E" w:rsidRPr="00B76A81">
        <w:t xml:space="preserve"> escalated to the central administrator.</w:t>
      </w:r>
    </w:p>
    <w:p w14:paraId="01AC10E1" w14:textId="3D5FD963" w:rsidR="0059286E" w:rsidRPr="00B76A81" w:rsidRDefault="0059286E" w:rsidP="0059286E">
      <w:pPr>
        <w:pStyle w:val="DHHSbody"/>
      </w:pPr>
      <w:r w:rsidRPr="00B76A81">
        <w:t xml:space="preserve">AMHS may reduce the cap to manage expenditure throughout the year. AMHS should discuss this with the central CSF administrator </w:t>
      </w:r>
      <w:r w:rsidR="005D75AD" w:rsidRPr="00B76A81">
        <w:t>before</w:t>
      </w:r>
      <w:r w:rsidRPr="00B76A81">
        <w:t xml:space="preserve"> doing so. The central CSF administrator should raise this as an issue at the next </w:t>
      </w:r>
      <w:r w:rsidR="004F614D" w:rsidRPr="00B76A81">
        <w:t xml:space="preserve">Independent </w:t>
      </w:r>
      <w:r w:rsidRPr="00B76A81">
        <w:t>CSF Advisory Group meeting.</w:t>
      </w:r>
    </w:p>
    <w:p w14:paraId="41103ED0" w14:textId="77777777" w:rsidR="0059286E" w:rsidRPr="00B76A81" w:rsidRDefault="0059286E" w:rsidP="0059286E">
      <w:pPr>
        <w:pStyle w:val="Heading2"/>
      </w:pPr>
      <w:bookmarkStart w:id="50" w:name="_Toc474164925"/>
      <w:bookmarkStart w:id="51" w:name="_Toc45285664"/>
      <w:bookmarkStart w:id="52" w:name="_Toc51943061"/>
      <w:r w:rsidRPr="00B76A81">
        <w:t>Caps on voucher applications</w:t>
      </w:r>
      <w:bookmarkEnd w:id="50"/>
      <w:bookmarkEnd w:id="51"/>
      <w:bookmarkEnd w:id="52"/>
    </w:p>
    <w:p w14:paraId="558797D0" w14:textId="77777777" w:rsidR="0059286E" w:rsidRPr="00B76A81" w:rsidRDefault="0059286E" w:rsidP="0059286E">
      <w:pPr>
        <w:pStyle w:val="DHHSbody"/>
      </w:pPr>
      <w:r w:rsidRPr="00B76A81">
        <w:t>AMHS may pre-purchase CSF vouchers to distribute to carers. AMHS applications for CSF vouchers must not exceed 50 per cent</w:t>
      </w:r>
      <w:r w:rsidRPr="00B76A81">
        <w:rPr>
          <w:position w:val="10"/>
          <w:sz w:val="18"/>
          <w:szCs w:val="18"/>
        </w:rPr>
        <w:t xml:space="preserve"> </w:t>
      </w:r>
      <w:r w:rsidRPr="00B76A81">
        <w:t>of the AMHS annual allocation. Tandem</w:t>
      </w:r>
      <w:r w:rsidRPr="00B76A81">
        <w:rPr>
          <w:rFonts w:ascii="Verdana" w:hAnsi="Verdana" w:cs="Verdana"/>
          <w:position w:val="1"/>
          <w:sz w:val="16"/>
          <w:szCs w:val="16"/>
        </w:rPr>
        <w:t xml:space="preserve"> </w:t>
      </w:r>
      <w:r w:rsidRPr="00B76A81">
        <w:t xml:space="preserve">will calculate this amount for each AMHS and advise services accordingly. Services receiving an annual allocation under $3,500 are exempt from this cap. </w:t>
      </w:r>
    </w:p>
    <w:p w14:paraId="5C921ED2" w14:textId="7ED051A4" w:rsidR="002E3906" w:rsidRPr="00B76A81" w:rsidRDefault="009C6596" w:rsidP="00E4171E">
      <w:pPr>
        <w:pStyle w:val="DHHSbody"/>
        <w:rPr>
          <w:bCs/>
          <w:color w:val="004EA8"/>
          <w:sz w:val="44"/>
          <w:szCs w:val="44"/>
        </w:rPr>
      </w:pPr>
      <w:r w:rsidRPr="00B76A81">
        <w:t xml:space="preserve">AMHS are responsible </w:t>
      </w:r>
      <w:r w:rsidR="0059286E" w:rsidRPr="00B76A81">
        <w:t xml:space="preserve">for monitoring voucher distribution within the 50 per cent cap. AMHS </w:t>
      </w:r>
      <w:r w:rsidRPr="00B76A81">
        <w:t xml:space="preserve">must </w:t>
      </w:r>
      <w:r w:rsidR="0059286E" w:rsidRPr="00B76A81">
        <w:t>record every voucher distribution using the template provided in Appendix</w:t>
      </w:r>
      <w:r w:rsidR="0059286E" w:rsidRPr="0030464A">
        <w:t xml:space="preserve"> </w:t>
      </w:r>
      <w:r w:rsidR="0059286E" w:rsidRPr="00402B35">
        <w:t>1</w:t>
      </w:r>
      <w:r w:rsidRPr="00402B35">
        <w:t>. This is in line with</w:t>
      </w:r>
      <w:r w:rsidR="0059286E" w:rsidRPr="00B76A81">
        <w:t xml:space="preserve"> </w:t>
      </w:r>
      <w:r w:rsidR="0059286E" w:rsidRPr="00402B35">
        <w:t>t</w:t>
      </w:r>
      <w:r w:rsidR="0059286E" w:rsidRPr="0030464A">
        <w:t>he</w:t>
      </w:r>
      <w:r w:rsidR="0059286E" w:rsidRPr="00402B35">
        <w:t xml:space="preserve"> </w:t>
      </w:r>
      <w:r w:rsidRPr="00402B35">
        <w:t xml:space="preserve">voucher </w:t>
      </w:r>
      <w:r w:rsidR="0059286E" w:rsidRPr="00B76A81">
        <w:t xml:space="preserve">policy </w:t>
      </w:r>
      <w:r w:rsidRPr="00B76A81">
        <w:t>outlined in the next section of these guidelines</w:t>
      </w:r>
      <w:r w:rsidR="0059286E" w:rsidRPr="00B76A81">
        <w:t>. Before distributing vouchers to carers, AMHS should check that caps have not been exceeded for the individual carer or primary consumer (identified by the statewide UR number). Tandem monitors compliance with voucher caps.</w:t>
      </w:r>
      <w:bookmarkStart w:id="53" w:name="_Toc474164926"/>
      <w:bookmarkStart w:id="54" w:name="_Toc45285665"/>
      <w:r w:rsidR="002E3906" w:rsidRPr="00B76A81">
        <w:br w:type="page"/>
      </w:r>
    </w:p>
    <w:p w14:paraId="42F1E4AE" w14:textId="30E49130" w:rsidR="0059286E" w:rsidRPr="00B76A81" w:rsidRDefault="00B14DB5" w:rsidP="0059286E">
      <w:pPr>
        <w:pStyle w:val="Heading1"/>
      </w:pPr>
      <w:bookmarkStart w:id="55" w:name="_Toc51943062"/>
      <w:r w:rsidRPr="00B76A81">
        <w:lastRenderedPageBreak/>
        <w:t>V</w:t>
      </w:r>
      <w:r w:rsidR="0059286E" w:rsidRPr="00B76A81">
        <w:t>oucher policy</w:t>
      </w:r>
      <w:bookmarkEnd w:id="53"/>
      <w:bookmarkEnd w:id="54"/>
      <w:bookmarkEnd w:id="55"/>
    </w:p>
    <w:p w14:paraId="54DECE63" w14:textId="77777777" w:rsidR="0059286E" w:rsidRPr="00B76A81" w:rsidRDefault="0059286E" w:rsidP="0059286E">
      <w:pPr>
        <w:pStyle w:val="DHHSbody"/>
      </w:pPr>
      <w:r w:rsidRPr="00B76A81">
        <w:t>The CSF voucher policy outlines the core features of voucher application, distribution and reporting.</w:t>
      </w:r>
    </w:p>
    <w:p w14:paraId="02A08A61" w14:textId="77777777" w:rsidR="0059286E" w:rsidRPr="00B76A81" w:rsidRDefault="0059286E" w:rsidP="0059286E">
      <w:pPr>
        <w:pStyle w:val="Heading2"/>
      </w:pPr>
      <w:bookmarkStart w:id="56" w:name="_Toc474164927"/>
      <w:bookmarkStart w:id="57" w:name="_Toc45285666"/>
      <w:bookmarkStart w:id="58" w:name="_Toc51943063"/>
      <w:r w:rsidRPr="00B76A81">
        <w:t>Voucher applications</w:t>
      </w:r>
      <w:bookmarkEnd w:id="56"/>
      <w:bookmarkEnd w:id="57"/>
      <w:bookmarkEnd w:id="58"/>
    </w:p>
    <w:p w14:paraId="63E9599E" w14:textId="77777777" w:rsidR="0059286E" w:rsidRPr="00B76A81" w:rsidRDefault="0059286E" w:rsidP="0059286E">
      <w:pPr>
        <w:pStyle w:val="DHHSbullet1"/>
      </w:pPr>
      <w:r w:rsidRPr="00B76A81">
        <w:t>CSF vouchers include taxi and petrol vouchers, movie tickets and store gift cards, among others.</w:t>
      </w:r>
    </w:p>
    <w:p w14:paraId="0A1FECF4" w14:textId="6F837536" w:rsidR="0059286E" w:rsidRPr="00B76A81" w:rsidRDefault="0059286E" w:rsidP="0059286E">
      <w:pPr>
        <w:pStyle w:val="DHHSbullet1"/>
      </w:pPr>
      <w:r w:rsidRPr="00B76A81">
        <w:t>AM</w:t>
      </w:r>
      <w:r w:rsidR="00F81623" w:rsidRPr="00B76A81">
        <w:t>H</w:t>
      </w:r>
      <w:r w:rsidRPr="00B76A81">
        <w:t>S may pre-purchase CSF vouchers for carers.</w:t>
      </w:r>
    </w:p>
    <w:p w14:paraId="05D1FC00" w14:textId="77777777" w:rsidR="0059286E" w:rsidRPr="00B76A81" w:rsidRDefault="0059286E" w:rsidP="0059286E">
      <w:pPr>
        <w:pStyle w:val="DHHSbullet1"/>
      </w:pPr>
      <w:r w:rsidRPr="00B76A81">
        <w:t>AMHS applications for CSF vouchers are capped at 50 per cent of AMHS annual allocation.</w:t>
      </w:r>
    </w:p>
    <w:p w14:paraId="63BD37AE" w14:textId="77777777" w:rsidR="0059286E" w:rsidRPr="00B76A81" w:rsidRDefault="0059286E" w:rsidP="0059286E">
      <w:pPr>
        <w:pStyle w:val="DHHSbullet1"/>
      </w:pPr>
      <w:r w:rsidRPr="00B76A81">
        <w:t>Tandem will calculate AMHS voucher caps and advise individual services accordingly.</w:t>
      </w:r>
    </w:p>
    <w:p w14:paraId="6D0E0A71" w14:textId="24A240E1" w:rsidR="0059286E" w:rsidRPr="00B76A81" w:rsidRDefault="0059286E" w:rsidP="0059286E">
      <w:pPr>
        <w:pStyle w:val="DHHSbullet1"/>
      </w:pPr>
      <w:r w:rsidRPr="00B76A81">
        <w:t xml:space="preserve">Individual AMHS </w:t>
      </w:r>
      <w:r w:rsidR="00E478BF" w:rsidRPr="00B76A81">
        <w:t xml:space="preserve">must </w:t>
      </w:r>
      <w:r w:rsidRPr="00B76A81">
        <w:t>comply with voucher caps. Tandem will oversee compliance. Tandem will provide quarterly reports to the department.</w:t>
      </w:r>
    </w:p>
    <w:p w14:paraId="4EB37109" w14:textId="78E04D28" w:rsidR="0059286E" w:rsidRPr="00B76A81" w:rsidRDefault="0059286E" w:rsidP="0059286E">
      <w:pPr>
        <w:pStyle w:val="DHHSbullet1"/>
      </w:pPr>
      <w:r w:rsidRPr="00B76A81">
        <w:t>End-of-year voucher applications for unexpended annual AM</w:t>
      </w:r>
      <w:r w:rsidR="00F81623" w:rsidRPr="00B76A81">
        <w:t>H</w:t>
      </w:r>
      <w:r w:rsidRPr="00B76A81">
        <w:t>S allocations will only be supported where they represent less than 10 per cent of the annual AMHS allocation.</w:t>
      </w:r>
    </w:p>
    <w:p w14:paraId="62219B4C" w14:textId="77777777" w:rsidR="0059286E" w:rsidRPr="00B76A81" w:rsidRDefault="0059286E" w:rsidP="0059286E">
      <w:pPr>
        <w:pStyle w:val="Heading2"/>
      </w:pPr>
      <w:bookmarkStart w:id="59" w:name="_Toc474164928"/>
      <w:bookmarkStart w:id="60" w:name="_Toc45285667"/>
      <w:bookmarkStart w:id="61" w:name="_Toc51943064"/>
      <w:r w:rsidRPr="00B76A81">
        <w:t>Voucher distribution to carers</w:t>
      </w:r>
      <w:bookmarkEnd w:id="59"/>
      <w:bookmarkEnd w:id="60"/>
      <w:bookmarkEnd w:id="61"/>
    </w:p>
    <w:p w14:paraId="3E4F9FC8" w14:textId="00C83EC3" w:rsidR="0059286E" w:rsidRPr="00B76A81" w:rsidRDefault="00E478BF" w:rsidP="0059286E">
      <w:pPr>
        <w:pStyle w:val="DHHSbullet1"/>
      </w:pPr>
      <w:r w:rsidRPr="00B76A81">
        <w:t>AMHS must distribute v</w:t>
      </w:r>
      <w:r w:rsidR="0059286E" w:rsidRPr="00B76A81">
        <w:t>ouchers to carers at the point of service.</w:t>
      </w:r>
    </w:p>
    <w:p w14:paraId="0FB18816" w14:textId="66F5C3A0" w:rsidR="0059286E" w:rsidRPr="00B76A81" w:rsidRDefault="00E478BF" w:rsidP="0059286E">
      <w:pPr>
        <w:pStyle w:val="DHHSbullet1"/>
      </w:pPr>
      <w:r w:rsidRPr="00B76A81">
        <w:t xml:space="preserve">Before </w:t>
      </w:r>
      <w:r w:rsidR="0059286E" w:rsidRPr="00B76A81">
        <w:t xml:space="preserve">distributing vouchers to carers, AMHS should check that caps have not been exceeded for the individual carer or primary consumer (identified </w:t>
      </w:r>
      <w:r w:rsidR="0059286E" w:rsidRPr="00402B35">
        <w:t>b</w:t>
      </w:r>
      <w:r w:rsidR="0059286E" w:rsidRPr="0030464A">
        <w:t>y</w:t>
      </w:r>
      <w:r w:rsidR="0059286E" w:rsidRPr="00402B35">
        <w:t xml:space="preserve"> the statewide </w:t>
      </w:r>
      <w:r w:rsidR="0059286E" w:rsidRPr="0030464A">
        <w:t>U</w:t>
      </w:r>
      <w:r w:rsidR="0059286E" w:rsidRPr="00B76A81">
        <w:t>R number).</w:t>
      </w:r>
    </w:p>
    <w:p w14:paraId="28BE71F6" w14:textId="34180433" w:rsidR="0059286E" w:rsidRPr="00B76A81" w:rsidRDefault="005C4C30" w:rsidP="0059286E">
      <w:pPr>
        <w:pStyle w:val="DHHSbullet1"/>
      </w:pPr>
      <w:r w:rsidRPr="00B76A81">
        <w:t>Appendix 2 outlines the process for voucher a</w:t>
      </w:r>
      <w:r w:rsidR="0059286E" w:rsidRPr="00B76A81">
        <w:t>ccountability.</w:t>
      </w:r>
    </w:p>
    <w:p w14:paraId="2D26A629" w14:textId="77777777" w:rsidR="0059286E" w:rsidRPr="00B76A81" w:rsidRDefault="0059286E" w:rsidP="0059286E">
      <w:pPr>
        <w:pStyle w:val="Heading2"/>
      </w:pPr>
      <w:bookmarkStart w:id="62" w:name="_Toc474164929"/>
      <w:bookmarkStart w:id="63" w:name="_Toc45285668"/>
      <w:bookmarkStart w:id="64" w:name="_Toc51943065"/>
      <w:r w:rsidRPr="00B76A81">
        <w:t>Voucher reporting</w:t>
      </w:r>
      <w:bookmarkEnd w:id="62"/>
      <w:bookmarkEnd w:id="63"/>
      <w:bookmarkEnd w:id="64"/>
    </w:p>
    <w:p w14:paraId="185EDD55" w14:textId="7485B7C9" w:rsidR="0059286E" w:rsidRPr="00B76A81" w:rsidRDefault="0059286E" w:rsidP="0059286E">
      <w:pPr>
        <w:pStyle w:val="DHHSbullet1"/>
      </w:pPr>
      <w:r w:rsidRPr="00B76A81">
        <w:t xml:space="preserve">AMHS </w:t>
      </w:r>
      <w:r w:rsidR="00063BD4" w:rsidRPr="00B76A81">
        <w:t>must</w:t>
      </w:r>
      <w:r w:rsidRPr="00B76A81">
        <w:t xml:space="preserve"> record all voucher distributions </w:t>
      </w:r>
      <w:r w:rsidR="00063BD4" w:rsidRPr="00B76A81">
        <w:t xml:space="preserve">electronically </w:t>
      </w:r>
      <w:r w:rsidRPr="00B76A81">
        <w:t>(see Attachment 2 for a voucher distribution record template).</w:t>
      </w:r>
    </w:p>
    <w:p w14:paraId="0A5DD754" w14:textId="099A4037" w:rsidR="0059286E" w:rsidRPr="00B76A81" w:rsidRDefault="0059286E" w:rsidP="0059286E">
      <w:pPr>
        <w:pStyle w:val="DHHSbullet1"/>
      </w:pPr>
      <w:r w:rsidRPr="00B76A81">
        <w:t xml:space="preserve">By recording the consumer statewide UR number, AMHS will be able to monitor and comply with voucher caps for individual carers and </w:t>
      </w:r>
      <w:r w:rsidR="00066FD1" w:rsidRPr="00B76A81">
        <w:t>consumers and</w:t>
      </w:r>
      <w:r w:rsidRPr="00B76A81">
        <w:t xml:space="preserve"> ensure equitable distribution of funds.</w:t>
      </w:r>
    </w:p>
    <w:p w14:paraId="4D1A7600" w14:textId="77777777" w:rsidR="0059286E" w:rsidRPr="00B76A81" w:rsidRDefault="0059286E" w:rsidP="0059286E">
      <w:pPr>
        <w:pStyle w:val="DHHSbullet1"/>
      </w:pPr>
      <w:r w:rsidRPr="00B76A81">
        <w:t>The voucher distribution record must be submitted to Tandem (the central CSF administrator) at the end of each quarter, to account for AMHS distribution of CSF vouchers.</w:t>
      </w:r>
    </w:p>
    <w:p w14:paraId="0B2DB898" w14:textId="77777777" w:rsidR="0059286E" w:rsidRPr="00B76A81" w:rsidRDefault="0059286E" w:rsidP="0059286E">
      <w:pPr>
        <w:pStyle w:val="DHHSbullet1"/>
      </w:pPr>
      <w:r w:rsidRPr="00B76A81">
        <w:t>Tandem will collate and analyse voucher data to monitor organisational and statewide patterns of voucher use. Patterns of use will be reported to the department.</w:t>
      </w:r>
    </w:p>
    <w:p w14:paraId="740F437B" w14:textId="156C1936" w:rsidR="0059286E" w:rsidRPr="00B76A81" w:rsidRDefault="0059286E" w:rsidP="006B65F6">
      <w:pPr>
        <w:pStyle w:val="DHHSbullet1"/>
      </w:pPr>
      <w:r w:rsidRPr="00B76A81">
        <w:t>AMHS should review their own voucher data to determine whether the distribution of CSF vouchers to carers is occurring fair</w:t>
      </w:r>
      <w:r w:rsidR="00063BD4" w:rsidRPr="00B76A81">
        <w:t>ly</w:t>
      </w:r>
      <w:r w:rsidRPr="00B76A81">
        <w:t xml:space="preserve"> and equitabl</w:t>
      </w:r>
      <w:r w:rsidR="00063BD4" w:rsidRPr="00B76A81">
        <w:t>y</w:t>
      </w:r>
      <w:r w:rsidRPr="00B76A81">
        <w:t>.</w:t>
      </w:r>
    </w:p>
    <w:p w14:paraId="089CC298" w14:textId="6F0FD959" w:rsidR="0059286E" w:rsidRPr="00B76A81" w:rsidRDefault="0059286E" w:rsidP="006B65F6">
      <w:pPr>
        <w:pStyle w:val="DHHSbodyafterbullets"/>
      </w:pPr>
      <w:r w:rsidRPr="00B76A81">
        <w:t xml:space="preserve">The CSF decision process is </w:t>
      </w:r>
      <w:r w:rsidR="001C4763" w:rsidRPr="00B76A81">
        <w:t xml:space="preserve">shown </w:t>
      </w:r>
      <w:r w:rsidRPr="00B76A81">
        <w:t>in Figure 4.</w:t>
      </w:r>
    </w:p>
    <w:p w14:paraId="46DA471B" w14:textId="05A55C3F" w:rsidR="00B76A81" w:rsidRDefault="0059286E" w:rsidP="00B76A81">
      <w:pPr>
        <w:pStyle w:val="DHHSfigurecaption"/>
      </w:pPr>
      <w:bookmarkStart w:id="65" w:name="_Toc474164930"/>
      <w:r w:rsidRPr="00B76A81">
        <w:lastRenderedPageBreak/>
        <w:t>Figure 4: C</w:t>
      </w:r>
      <w:r w:rsidR="00590A4D" w:rsidRPr="00B76A81">
        <w:t>arer Support Fund</w:t>
      </w:r>
      <w:r w:rsidRPr="00B76A81">
        <w:t xml:space="preserve"> decision process</w:t>
      </w:r>
      <w:bookmarkEnd w:id="65"/>
    </w:p>
    <w:p w14:paraId="33D083DA" w14:textId="159E7B28" w:rsidR="00BD368D" w:rsidRPr="00BD368D" w:rsidRDefault="00BD368D" w:rsidP="00BD368D">
      <w:pPr>
        <w:pStyle w:val="DHHSbody"/>
      </w:pPr>
      <w:r>
        <w:rPr>
          <w:noProof/>
        </w:rPr>
        <w:drawing>
          <wp:inline distT="0" distB="0" distL="0" distR="0" wp14:anchorId="7BE7638D" wp14:editId="200E1C0B">
            <wp:extent cx="5904230" cy="6288405"/>
            <wp:effectExtent l="0" t="0" r="1270" b="0"/>
            <wp:docPr id="8" name="Picture 8" descr="See the main text under 'AMHS procedures for processing applications' for an explanation of the decis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4.CSF Dec Process 2020.png"/>
                    <pic:cNvPicPr/>
                  </pic:nvPicPr>
                  <pic:blipFill>
                    <a:blip r:embed="rId29"/>
                    <a:stretch>
                      <a:fillRect/>
                    </a:stretch>
                  </pic:blipFill>
                  <pic:spPr>
                    <a:xfrm>
                      <a:off x="0" y="0"/>
                      <a:ext cx="5904230" cy="6288405"/>
                    </a:xfrm>
                    <a:prstGeom prst="rect">
                      <a:avLst/>
                    </a:prstGeom>
                  </pic:spPr>
                </pic:pic>
              </a:graphicData>
            </a:graphic>
          </wp:inline>
        </w:drawing>
      </w:r>
    </w:p>
    <w:p w14:paraId="7450BFE3" w14:textId="77777777" w:rsidR="004C48DD" w:rsidRDefault="004C48DD">
      <w:pPr>
        <w:rPr>
          <w:rFonts w:ascii="Arial" w:hAnsi="Arial"/>
          <w:b/>
          <w:color w:val="004EA8"/>
          <w:sz w:val="28"/>
          <w:szCs w:val="28"/>
        </w:rPr>
      </w:pPr>
      <w:bookmarkStart w:id="66" w:name="_Toc45285669"/>
      <w:r>
        <w:br w:type="page"/>
      </w:r>
    </w:p>
    <w:p w14:paraId="31E6BF99" w14:textId="321BEC9B" w:rsidR="0059286E" w:rsidRPr="00B76A81" w:rsidRDefault="0059286E" w:rsidP="0059286E">
      <w:pPr>
        <w:pStyle w:val="Heading2"/>
      </w:pPr>
      <w:bookmarkStart w:id="67" w:name="_Toc51943066"/>
      <w:r w:rsidRPr="00B76A81">
        <w:lastRenderedPageBreak/>
        <w:t>AMHS procedures for processing applications</w:t>
      </w:r>
      <w:bookmarkEnd w:id="66"/>
      <w:bookmarkEnd w:id="67"/>
    </w:p>
    <w:p w14:paraId="4FF50CFE" w14:textId="77777777" w:rsidR="0059286E" w:rsidRPr="00B76A81" w:rsidRDefault="0059286E" w:rsidP="006B65F6">
      <w:pPr>
        <w:pStyle w:val="DHHSbody"/>
      </w:pPr>
      <w:r w:rsidRPr="00B76A81">
        <w:t>AMHS will comply with the following procedure:</w:t>
      </w:r>
    </w:p>
    <w:p w14:paraId="07005434" w14:textId="18821322" w:rsidR="0059286E" w:rsidRPr="00B76A81" w:rsidRDefault="0059286E" w:rsidP="006B65F6">
      <w:pPr>
        <w:pStyle w:val="DHHSbullet1"/>
      </w:pPr>
      <w:r w:rsidRPr="00B76A81">
        <w:t>AMHS staff registered</w:t>
      </w:r>
      <w:r w:rsidRPr="00402B35">
        <w:rPr>
          <w:rStyle w:val="FootnoteReference"/>
        </w:rPr>
        <w:footnoteReference w:id="3"/>
      </w:r>
      <w:r w:rsidRPr="00402B35">
        <w:rPr>
          <w:vertAlign w:val="superscript"/>
        </w:rPr>
        <w:t xml:space="preserve"> </w:t>
      </w:r>
      <w:r w:rsidRPr="00B76A81">
        <w:t xml:space="preserve">to prepare CSF applications will do so on behalf of and in consultation with carers via an </w:t>
      </w:r>
      <w:hyperlink r:id="rId30" w:history="1">
        <w:r w:rsidRPr="0030464A">
          <w:rPr>
            <w:rStyle w:val="Hyperlink"/>
          </w:rPr>
          <w:t>online application</w:t>
        </w:r>
      </w:hyperlink>
      <w:r w:rsidRPr="00B76A81">
        <w:t xml:space="preserve"> &lt;</w:t>
      </w:r>
      <w:hyperlink r:id="rId31" w:history="1">
        <w:r w:rsidRPr="00B76A81">
          <w:rPr>
            <w:rStyle w:val="Hyperlink"/>
            <w:color w:val="auto"/>
            <w:u w:val="none"/>
          </w:rPr>
          <w:t>https://carersupportfund.tandemcarers.org.au/dotnetnuke/</w:t>
        </w:r>
      </w:hyperlink>
      <w:r w:rsidRPr="00B76A81">
        <w:t>&gt;</w:t>
      </w:r>
      <w:r w:rsidR="0030464A">
        <w:rPr>
          <w:rStyle w:val="Hyperlink"/>
          <w:color w:val="auto"/>
          <w:u w:val="none"/>
        </w:rPr>
        <w:t>.</w:t>
      </w:r>
      <w:r w:rsidRPr="00B76A81">
        <w:rPr>
          <w:rStyle w:val="Hyperlink"/>
          <w:color w:val="auto"/>
          <w:u w:val="none"/>
        </w:rPr>
        <w:t xml:space="preserve"> </w:t>
      </w:r>
    </w:p>
    <w:p w14:paraId="32AAFFE5" w14:textId="5124B7D9" w:rsidR="0059286E" w:rsidRPr="00B76A81" w:rsidRDefault="0059286E" w:rsidP="006B65F6">
      <w:pPr>
        <w:pStyle w:val="DHHSbullet1"/>
      </w:pPr>
      <w:r w:rsidRPr="00B76A81">
        <w:t>Staff will submit CSF applications to a CSF committee member (approver).</w:t>
      </w:r>
    </w:p>
    <w:p w14:paraId="6527C616" w14:textId="77777777" w:rsidR="0059286E" w:rsidRPr="00B76A81" w:rsidRDefault="0059286E" w:rsidP="006B65F6">
      <w:pPr>
        <w:pStyle w:val="DHHSbullet1"/>
      </w:pPr>
      <w:r w:rsidRPr="00B76A81">
        <w:t>The CSF committee member will review the application against CSF eligibility criteria, relevant funding caps and available funds.</w:t>
      </w:r>
    </w:p>
    <w:p w14:paraId="41E72849" w14:textId="77777777" w:rsidR="0059286E" w:rsidRPr="00B76A81" w:rsidRDefault="0059286E" w:rsidP="006B65F6">
      <w:pPr>
        <w:pStyle w:val="DHHSbullet1"/>
      </w:pPr>
      <w:r w:rsidRPr="00B76A81">
        <w:t>The CSF committee member will approve/decline the application within 10 working days of receiving the application (via hard copy or online).</w:t>
      </w:r>
    </w:p>
    <w:p w14:paraId="5C0160BE" w14:textId="77777777" w:rsidR="0059286E" w:rsidRPr="00B76A81" w:rsidRDefault="0059286E" w:rsidP="006B65F6">
      <w:pPr>
        <w:pStyle w:val="DHHSbullet1"/>
      </w:pPr>
      <w:r w:rsidRPr="00B76A81">
        <w:t>Where approved, the committee member will:</w:t>
      </w:r>
    </w:p>
    <w:p w14:paraId="3BE94C44" w14:textId="77777777" w:rsidR="0059286E" w:rsidRPr="00B76A81" w:rsidRDefault="0059286E" w:rsidP="006B65F6">
      <w:pPr>
        <w:pStyle w:val="DHHSbullet2"/>
      </w:pPr>
      <w:r w:rsidRPr="00B76A81">
        <w:t>forward the application to Tandem (the central CSF administrator) for processing</w:t>
      </w:r>
    </w:p>
    <w:p w14:paraId="001F8E1F" w14:textId="77777777" w:rsidR="0059286E" w:rsidRPr="00B76A81" w:rsidRDefault="0059286E" w:rsidP="006B65F6">
      <w:pPr>
        <w:pStyle w:val="DHHSbullet2"/>
      </w:pPr>
      <w:r w:rsidRPr="00B76A81">
        <w:t>provide a courtesy copy to the CSF coordinator</w:t>
      </w:r>
    </w:p>
    <w:p w14:paraId="559BDE54" w14:textId="08ADD807" w:rsidR="0059286E" w:rsidRPr="00B76A81" w:rsidRDefault="0059286E" w:rsidP="006B65F6">
      <w:pPr>
        <w:pStyle w:val="DHHSbullet2"/>
      </w:pPr>
      <w:r w:rsidRPr="00B76A81">
        <w:t>advise the staff member who prepared the CSF application, who will in turn inform the applicant.</w:t>
      </w:r>
    </w:p>
    <w:p w14:paraId="57AD16A8" w14:textId="77777777" w:rsidR="0059286E" w:rsidRPr="00B76A81" w:rsidRDefault="0059286E" w:rsidP="006B65F6">
      <w:pPr>
        <w:pStyle w:val="DHHSbullet1"/>
      </w:pPr>
      <w:r w:rsidRPr="00B76A81">
        <w:t>Where the application is declined, the committee member will refer the application and feedback to the AMHS CSF coordinator for review.</w:t>
      </w:r>
    </w:p>
    <w:p w14:paraId="264B009A" w14:textId="77777777" w:rsidR="0059286E" w:rsidRPr="00B76A81" w:rsidRDefault="0059286E" w:rsidP="006B65F6">
      <w:pPr>
        <w:pStyle w:val="DHHSbullet1"/>
      </w:pPr>
      <w:r w:rsidRPr="00B76A81">
        <w:t>The AMHS CSF coordinator will review and approve/decline.</w:t>
      </w:r>
    </w:p>
    <w:p w14:paraId="2662D80F" w14:textId="77777777" w:rsidR="0059286E" w:rsidRPr="00B76A81" w:rsidRDefault="0059286E" w:rsidP="006B65F6">
      <w:pPr>
        <w:pStyle w:val="DHHSbullet1"/>
      </w:pPr>
      <w:r w:rsidRPr="00B76A81">
        <w:t>The AMHS CSF coordinator will provide feedback to the committee member and relevant staff member on the outcome of their review.</w:t>
      </w:r>
    </w:p>
    <w:p w14:paraId="39076F32" w14:textId="10453001" w:rsidR="0059286E" w:rsidRPr="00B76A81" w:rsidRDefault="0059286E" w:rsidP="006B65F6">
      <w:pPr>
        <w:pStyle w:val="DHHSbullet1"/>
      </w:pPr>
      <w:r w:rsidRPr="00B76A81">
        <w:t>The relevant staff member will inform the applicant of the outcome.</w:t>
      </w:r>
    </w:p>
    <w:p w14:paraId="0C190DBA" w14:textId="77777777" w:rsidR="0059286E" w:rsidRPr="00B76A81" w:rsidRDefault="0059286E" w:rsidP="006B65F6">
      <w:pPr>
        <w:pStyle w:val="DHHSbodyafterbullets"/>
      </w:pPr>
      <w:r w:rsidRPr="00B76A81">
        <w:t>The CSF coordinator is responsible for declaring and managing conflicts of interest that might arise.</w:t>
      </w:r>
    </w:p>
    <w:p w14:paraId="383055F0" w14:textId="494F5753" w:rsidR="0059286E" w:rsidRPr="00B76A81" w:rsidRDefault="0059286E" w:rsidP="0059286E">
      <w:pPr>
        <w:pStyle w:val="Heading2"/>
      </w:pPr>
      <w:bookmarkStart w:id="68" w:name="_Toc474164932"/>
      <w:bookmarkStart w:id="69" w:name="_Toc45285670"/>
      <w:bookmarkStart w:id="70" w:name="_Toc51943067"/>
      <w:r w:rsidRPr="00B76A81">
        <w:t>Tandem procedures for processing applications</w:t>
      </w:r>
      <w:bookmarkEnd w:id="68"/>
      <w:bookmarkEnd w:id="69"/>
      <w:bookmarkEnd w:id="70"/>
    </w:p>
    <w:p w14:paraId="7127B7DC" w14:textId="77777777" w:rsidR="0059286E" w:rsidRPr="00B76A81" w:rsidRDefault="0059286E" w:rsidP="0059286E">
      <w:pPr>
        <w:pStyle w:val="DHHSbody"/>
      </w:pPr>
      <w:r w:rsidRPr="00B76A81">
        <w:t>Tandem, as the central CSF administrator, will:</w:t>
      </w:r>
    </w:p>
    <w:p w14:paraId="1BC5729A" w14:textId="77777777" w:rsidR="0059286E" w:rsidRPr="00B76A81" w:rsidRDefault="0059286E" w:rsidP="0059286E">
      <w:pPr>
        <w:pStyle w:val="DHHSbullet1"/>
      </w:pPr>
      <w:r w:rsidRPr="00B76A81">
        <w:t>respond to enquiries and issues within five working days</w:t>
      </w:r>
    </w:p>
    <w:p w14:paraId="00CA4535" w14:textId="77777777" w:rsidR="0059286E" w:rsidRPr="00B76A81" w:rsidRDefault="0059286E" w:rsidP="0059286E">
      <w:pPr>
        <w:pStyle w:val="DHHSbullet1"/>
      </w:pPr>
      <w:r w:rsidRPr="00B76A81">
        <w:t xml:space="preserve">receive CSF applications online </w:t>
      </w:r>
    </w:p>
    <w:p w14:paraId="6ACDABC3" w14:textId="77777777" w:rsidR="0059286E" w:rsidRPr="00B76A81" w:rsidRDefault="0059286E" w:rsidP="0059286E">
      <w:pPr>
        <w:pStyle w:val="DHHSbullet1"/>
      </w:pPr>
      <w:r w:rsidRPr="00B76A81">
        <w:t>review submitted applications against eligibility criteria and required fields, and approve/decline applications within 10 working days of receiving the application</w:t>
      </w:r>
    </w:p>
    <w:p w14:paraId="6F4349CE" w14:textId="63132E9E" w:rsidR="0059286E" w:rsidRPr="00B76A81" w:rsidRDefault="0059286E" w:rsidP="0059286E">
      <w:pPr>
        <w:pStyle w:val="DHHSbullet1"/>
      </w:pPr>
      <w:r w:rsidRPr="00B76A81">
        <w:t xml:space="preserve">advise AMHS when data fields (such as banking details) are missing or incomplete (the AMHS may </w:t>
      </w:r>
      <w:r w:rsidR="00BB091A">
        <w:t>have</w:t>
      </w:r>
      <w:r w:rsidRPr="00B76A81">
        <w:t xml:space="preserve"> to resubmit)</w:t>
      </w:r>
    </w:p>
    <w:p w14:paraId="037353DC" w14:textId="71F042C8" w:rsidR="0059286E" w:rsidRPr="00B76A81" w:rsidRDefault="0059286E" w:rsidP="0059286E">
      <w:pPr>
        <w:pStyle w:val="DHHSbullet1"/>
      </w:pPr>
      <w:r w:rsidRPr="00B76A81">
        <w:t>where approved:</w:t>
      </w:r>
    </w:p>
    <w:p w14:paraId="7A64C150" w14:textId="77777777" w:rsidR="0059286E" w:rsidRPr="00B76A81" w:rsidRDefault="0059286E" w:rsidP="006B65F6">
      <w:pPr>
        <w:pStyle w:val="DHHSbullet2"/>
      </w:pPr>
      <w:r w:rsidRPr="00B76A81">
        <w:t>process payments for approved applications within 10 working days of receiving the application from the AMHS</w:t>
      </w:r>
    </w:p>
    <w:p w14:paraId="06590237" w14:textId="77777777" w:rsidR="0059286E" w:rsidRPr="00B76A81" w:rsidRDefault="0059286E" w:rsidP="006B65F6">
      <w:pPr>
        <w:pStyle w:val="DHHSbullet2"/>
      </w:pPr>
      <w:r w:rsidRPr="00B76A81">
        <w:t>advise AMHS (the local administrator) of the outcome of application within 10 working days</w:t>
      </w:r>
    </w:p>
    <w:p w14:paraId="1FB6BE0A" w14:textId="090C44CD" w:rsidR="0059286E" w:rsidRPr="00B76A81" w:rsidRDefault="0059286E" w:rsidP="0059286E">
      <w:pPr>
        <w:pStyle w:val="DHHSbullet1"/>
      </w:pPr>
      <w:r w:rsidRPr="00B76A81">
        <w:t xml:space="preserve">where </w:t>
      </w:r>
      <w:r w:rsidRPr="00B76A81">
        <w:rPr>
          <w:b/>
        </w:rPr>
        <w:t>not</w:t>
      </w:r>
      <w:r w:rsidRPr="00B76A81">
        <w:t xml:space="preserve"> approved, provide written advice to the relevant AMHS that the application was unsuccessful, provide feedback and note </w:t>
      </w:r>
      <w:r w:rsidR="00A52B36">
        <w:t>that</w:t>
      </w:r>
      <w:r w:rsidRPr="00B76A81">
        <w:t>:</w:t>
      </w:r>
    </w:p>
    <w:p w14:paraId="40A5591A" w14:textId="77777777" w:rsidR="0059286E" w:rsidRPr="00B76A81" w:rsidRDefault="0059286E" w:rsidP="006B65F6">
      <w:pPr>
        <w:pStyle w:val="DHHSbullet2"/>
      </w:pPr>
      <w:r w:rsidRPr="00B76A81">
        <w:t>revised applications that clearly comply with CSF guidelines may be processed as usual by the AMHS via the CSF coordinator</w:t>
      </w:r>
    </w:p>
    <w:p w14:paraId="225821A0" w14:textId="77777777" w:rsidR="0059286E" w:rsidRPr="00B76A81" w:rsidRDefault="0059286E" w:rsidP="006B65F6">
      <w:pPr>
        <w:pStyle w:val="DHHSbullet2"/>
      </w:pPr>
      <w:r w:rsidRPr="00B76A81">
        <w:t>appeals against a Tandem decision should be submitted by AMHS in writing to the central administrator</w:t>
      </w:r>
    </w:p>
    <w:p w14:paraId="2A0EAF2C" w14:textId="77777777" w:rsidR="0059286E" w:rsidRPr="00B76A81" w:rsidRDefault="0059286E" w:rsidP="0059286E">
      <w:pPr>
        <w:pStyle w:val="DHHSbullet1"/>
      </w:pPr>
      <w:r w:rsidRPr="00B76A81">
        <w:t>where an appeal is lodged:</w:t>
      </w:r>
    </w:p>
    <w:p w14:paraId="1062FFBB" w14:textId="36B819CE" w:rsidR="0059286E" w:rsidRPr="00B76A81" w:rsidRDefault="0059286E" w:rsidP="006B65F6">
      <w:pPr>
        <w:pStyle w:val="DHHSbullet2"/>
      </w:pPr>
      <w:r w:rsidRPr="00B76A81">
        <w:t>forward the application and decision feedback to three members of the Independent CSF Advisory Group (excluding Tandem representatives) for review and resolution within 14 working days</w:t>
      </w:r>
    </w:p>
    <w:p w14:paraId="40F96D1E" w14:textId="7EBB1EA1" w:rsidR="0059286E" w:rsidRPr="00B76A81" w:rsidRDefault="0059286E" w:rsidP="006B65F6">
      <w:pPr>
        <w:pStyle w:val="DHHSbullet2"/>
      </w:pPr>
      <w:r w:rsidRPr="00B76A81">
        <w:t xml:space="preserve">resolve </w:t>
      </w:r>
      <w:r w:rsidR="00BB091A">
        <w:t xml:space="preserve">appeals </w:t>
      </w:r>
      <w:r w:rsidRPr="00B76A81">
        <w:t>out of session, where necessary</w:t>
      </w:r>
    </w:p>
    <w:p w14:paraId="3BDBFCFA" w14:textId="01DC2CFB" w:rsidR="0059286E" w:rsidRPr="00B76A81" w:rsidRDefault="00BB091A" w:rsidP="006B65F6">
      <w:pPr>
        <w:pStyle w:val="DHHSbullet2"/>
      </w:pPr>
      <w:r>
        <w:t xml:space="preserve">apply </w:t>
      </w:r>
      <w:r w:rsidR="0059286E" w:rsidRPr="00B76A81">
        <w:t>a majority decision</w:t>
      </w:r>
    </w:p>
    <w:p w14:paraId="0184DDF0" w14:textId="76B64E74" w:rsidR="0059286E" w:rsidRPr="00B76A81" w:rsidRDefault="00BB091A" w:rsidP="006B65F6">
      <w:pPr>
        <w:pStyle w:val="DHHSbullet2"/>
      </w:pPr>
      <w:r>
        <w:lastRenderedPageBreak/>
        <w:t xml:space="preserve">notify </w:t>
      </w:r>
      <w:r w:rsidR="0059286E" w:rsidRPr="00B76A81">
        <w:t>the central CSF administrator of the outcome of appeals and inform the AMHS</w:t>
      </w:r>
    </w:p>
    <w:p w14:paraId="6142EEDE" w14:textId="4AECBDF7" w:rsidR="0059286E" w:rsidRPr="00B76A81" w:rsidRDefault="0059286E" w:rsidP="006B65F6">
      <w:pPr>
        <w:pStyle w:val="DHHSbullet2"/>
      </w:pPr>
      <w:r w:rsidRPr="00B76A81">
        <w:t xml:space="preserve">where the application is successful, </w:t>
      </w:r>
      <w:r w:rsidR="00BB091A">
        <w:t xml:space="preserve">process the </w:t>
      </w:r>
      <w:r w:rsidRPr="00B76A81">
        <w:t>CSF payment within three working days</w:t>
      </w:r>
      <w:r w:rsidR="00BB091A">
        <w:t>.</w:t>
      </w:r>
    </w:p>
    <w:p w14:paraId="5FD29AB5" w14:textId="77408704" w:rsidR="0059286E" w:rsidRPr="00B76A81" w:rsidRDefault="00BB091A" w:rsidP="00402B35">
      <w:pPr>
        <w:pStyle w:val="DHHSbodyafterbullets"/>
      </w:pPr>
      <w:r>
        <w:t>T</w:t>
      </w:r>
      <w:r w:rsidR="0059286E" w:rsidRPr="00B76A81">
        <w:t>he central administrator and Independent CSF Advisory Group will declare and manage any conflicts of interest that might arise regarding relationships between carer applicants and CSF decision-makers (Tandem and Independent CSF Advisory Group members).</w:t>
      </w:r>
    </w:p>
    <w:p w14:paraId="069A8D29" w14:textId="34BA0161" w:rsidR="0059286E" w:rsidRPr="00B76A81" w:rsidRDefault="0059286E" w:rsidP="006B65F6">
      <w:pPr>
        <w:pStyle w:val="DHHSbodyafterbullets"/>
      </w:pPr>
      <w:r w:rsidRPr="00B76A81">
        <w:t>The CSF payment pathway is depicted in Figure 5.</w:t>
      </w:r>
    </w:p>
    <w:p w14:paraId="72261424" w14:textId="4466B098" w:rsidR="0059286E" w:rsidRDefault="0059286E" w:rsidP="0059286E">
      <w:pPr>
        <w:pStyle w:val="DHHSfigurecaption"/>
      </w:pPr>
      <w:bookmarkStart w:id="71" w:name="_Toc474164933"/>
      <w:r w:rsidRPr="00B76A81">
        <w:rPr>
          <w:rFonts w:cs="Arial"/>
        </w:rPr>
        <w:t xml:space="preserve">Figure 5: </w:t>
      </w:r>
      <w:r w:rsidRPr="00B76A81">
        <w:t>C</w:t>
      </w:r>
      <w:r w:rsidR="00CF5AE6" w:rsidRPr="00B76A81">
        <w:t>arer Support Fund</w:t>
      </w:r>
      <w:r w:rsidRPr="00B76A81">
        <w:t xml:space="preserve"> payment pathway</w:t>
      </w:r>
      <w:bookmarkEnd w:id="71"/>
      <w:r w:rsidRPr="00B76A81">
        <w:t xml:space="preserve">  </w:t>
      </w:r>
    </w:p>
    <w:p w14:paraId="7A2CB2A1" w14:textId="77777777" w:rsidR="00E4171E" w:rsidRDefault="00DE33CF" w:rsidP="00DE33CF">
      <w:pPr>
        <w:pStyle w:val="DHHSbody"/>
      </w:pPr>
      <w:bookmarkStart w:id="72" w:name="_Toc474164935"/>
      <w:bookmarkStart w:id="73" w:name="_Toc45285671"/>
      <w:r w:rsidRPr="00DE33CF">
        <w:rPr>
          <w:noProof/>
        </w:rPr>
        <w:drawing>
          <wp:inline distT="0" distB="0" distL="0" distR="0" wp14:anchorId="40E80D78" wp14:editId="2AA0B7D2">
            <wp:extent cx="5966725" cy="3000375"/>
            <wp:effectExtent l="0" t="0" r="0" b="0"/>
            <wp:docPr id="149" name="Picture 149" descr="Tandem distributes payments to carers (e.g. direct payment/reimbursements), AMHS (e.g. voucher orders) and suppliers (e.g. utility providers). Two signatures are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tretch>
                      <a:fillRect/>
                    </a:stretch>
                  </pic:blipFill>
                  <pic:spPr bwMode="auto">
                    <a:xfrm>
                      <a:off x="0" y="0"/>
                      <a:ext cx="5975936" cy="3005007"/>
                    </a:xfrm>
                    <a:prstGeom prst="rect">
                      <a:avLst/>
                    </a:prstGeom>
                    <a:noFill/>
                    <a:ln>
                      <a:noFill/>
                    </a:ln>
                  </pic:spPr>
                </pic:pic>
              </a:graphicData>
            </a:graphic>
          </wp:inline>
        </w:drawing>
      </w:r>
    </w:p>
    <w:p w14:paraId="1083C8B3" w14:textId="77777777" w:rsidR="00764891" w:rsidRDefault="00764891">
      <w:pPr>
        <w:rPr>
          <w:rFonts w:ascii="Arial" w:hAnsi="Arial"/>
          <w:bCs/>
          <w:color w:val="004EA8"/>
          <w:sz w:val="44"/>
          <w:szCs w:val="44"/>
        </w:rPr>
      </w:pPr>
      <w:r>
        <w:br w:type="page"/>
      </w:r>
    </w:p>
    <w:p w14:paraId="5199A17E" w14:textId="3EA30F03" w:rsidR="0059286E" w:rsidRPr="00B76A81" w:rsidRDefault="00DB7586" w:rsidP="0059286E">
      <w:pPr>
        <w:pStyle w:val="Heading1"/>
      </w:pPr>
      <w:bookmarkStart w:id="74" w:name="_Toc51943068"/>
      <w:r w:rsidRPr="00B76A81">
        <w:lastRenderedPageBreak/>
        <w:t>O</w:t>
      </w:r>
      <w:r w:rsidR="0059286E" w:rsidRPr="00B76A81">
        <w:t>verspend and underspend policy</w:t>
      </w:r>
      <w:bookmarkEnd w:id="72"/>
      <w:bookmarkEnd w:id="73"/>
      <w:bookmarkEnd w:id="74"/>
    </w:p>
    <w:p w14:paraId="0DD541D5" w14:textId="77777777" w:rsidR="0059286E" w:rsidRPr="00B76A81" w:rsidRDefault="0059286E" w:rsidP="0059286E">
      <w:pPr>
        <w:pStyle w:val="DHHSbody"/>
      </w:pPr>
      <w:r w:rsidRPr="00B76A81">
        <w:t>AMHS hold primary responsibility for managing their CSF expenditure. This includes managing and monitoring CSF underspend and overspend throughout the financial year. The following applies:</w:t>
      </w:r>
    </w:p>
    <w:p w14:paraId="494B40CD" w14:textId="77777777" w:rsidR="0059286E" w:rsidRPr="00B76A81" w:rsidRDefault="0059286E" w:rsidP="0059286E">
      <w:pPr>
        <w:pStyle w:val="DHHSbullet1"/>
      </w:pPr>
      <w:r w:rsidRPr="00B76A81">
        <w:t>AMHS must monitor their cumulative CSF expenditure for over- and under-expenditure.</w:t>
      </w:r>
    </w:p>
    <w:p w14:paraId="6701C9B1" w14:textId="4B1B7514" w:rsidR="0059286E" w:rsidRPr="00B76A81" w:rsidRDefault="0059286E" w:rsidP="0059286E">
      <w:pPr>
        <w:pStyle w:val="DHHSbullet1"/>
      </w:pPr>
      <w:r w:rsidRPr="00B76A81">
        <w:t>The central administrator (Tandem) will provide monthly, quarterly and annual expenditure statements to AMHS to assist with monitoring.</w:t>
      </w:r>
    </w:p>
    <w:p w14:paraId="4AA3879B" w14:textId="533D8C60" w:rsidR="0059286E" w:rsidRPr="00B76A81" w:rsidRDefault="0059286E" w:rsidP="0059286E">
      <w:pPr>
        <w:pStyle w:val="DHHSbullet1"/>
      </w:pPr>
      <w:r w:rsidRPr="00B76A81">
        <w:t>The central administrator will also provide quarterly written advice to AMHS that are tracking at more than 30 per cent above or below expenditure during the financial year</w:t>
      </w:r>
      <w:r w:rsidR="009A57EE">
        <w:t>. Tandem</w:t>
      </w:r>
      <w:r w:rsidRPr="00B76A81">
        <w:t xml:space="preserve"> should raise this as an issue </w:t>
      </w:r>
      <w:r w:rsidR="009A57EE">
        <w:t>for</w:t>
      </w:r>
      <w:r w:rsidRPr="00B76A81">
        <w:t xml:space="preserve"> the </w:t>
      </w:r>
      <w:r w:rsidR="009A57EE">
        <w:t xml:space="preserve">Independent </w:t>
      </w:r>
      <w:r w:rsidRPr="00B76A81">
        <w:t>CSF Advisory Group.</w:t>
      </w:r>
    </w:p>
    <w:p w14:paraId="7E962C42" w14:textId="37C4D9E7" w:rsidR="0059286E" w:rsidRPr="00B76A81" w:rsidRDefault="0059286E" w:rsidP="0059286E">
      <w:pPr>
        <w:pStyle w:val="DHHSbullet1"/>
        <w:rPr>
          <w:b/>
          <w:bCs/>
        </w:rPr>
      </w:pPr>
      <w:r w:rsidRPr="00B76A81">
        <w:t xml:space="preserve">If AMHS have an underspend of more than 30 per cent at any point during the year, they must ensure the full and equitable disbursement of the CSF to carers by financial year’s end. </w:t>
      </w:r>
      <w:r w:rsidRPr="00B76A81">
        <w:rPr>
          <w:b/>
          <w:bCs/>
        </w:rPr>
        <w:t>Should these funds not be fully expended, remaining budget is to be returned to Tandem for reallocation. T</w:t>
      </w:r>
      <w:r w:rsidR="009A57EE">
        <w:rPr>
          <w:b/>
          <w:bCs/>
        </w:rPr>
        <w:t>andem</w:t>
      </w:r>
      <w:r w:rsidRPr="00B76A81">
        <w:rPr>
          <w:b/>
          <w:bCs/>
        </w:rPr>
        <w:t xml:space="preserve"> can provide advice and support regarding underspend issues.</w:t>
      </w:r>
    </w:p>
    <w:p w14:paraId="622CCFD8" w14:textId="77777777" w:rsidR="0059286E" w:rsidRPr="00B76A81" w:rsidRDefault="0059286E" w:rsidP="0059286E">
      <w:pPr>
        <w:pStyle w:val="DHHSbullet1"/>
      </w:pPr>
      <w:r w:rsidRPr="00B76A81">
        <w:t>AMHS may not exceed their annual CSF allocation. Tandem will not process CSF applications beyond the annual allocation. AMHS should ensure CSF applications fall within available budget allocations.</w:t>
      </w:r>
    </w:p>
    <w:p w14:paraId="7FC38F08" w14:textId="77777777" w:rsidR="00E4171E" w:rsidRDefault="00E4171E">
      <w:pPr>
        <w:rPr>
          <w:rFonts w:ascii="Arial" w:hAnsi="Arial"/>
          <w:bCs/>
          <w:color w:val="004EA8"/>
          <w:sz w:val="44"/>
          <w:szCs w:val="44"/>
        </w:rPr>
      </w:pPr>
      <w:bookmarkStart w:id="75" w:name="_Toc474164934"/>
      <w:r>
        <w:br w:type="page"/>
      </w:r>
    </w:p>
    <w:p w14:paraId="45884219" w14:textId="2DB7D06C" w:rsidR="0059286E" w:rsidRPr="00B76A81" w:rsidRDefault="0059286E" w:rsidP="006B65F6">
      <w:pPr>
        <w:pStyle w:val="Heading1"/>
      </w:pPr>
      <w:bookmarkStart w:id="76" w:name="_Toc51943069"/>
      <w:r w:rsidRPr="00B76A81">
        <w:lastRenderedPageBreak/>
        <w:t>Complaints policy</w:t>
      </w:r>
      <w:bookmarkEnd w:id="75"/>
      <w:bookmarkEnd w:id="76"/>
    </w:p>
    <w:p w14:paraId="175C8E5A" w14:textId="265976F5" w:rsidR="0059286E" w:rsidRPr="00B76A81" w:rsidRDefault="0059286E" w:rsidP="006B65F6">
      <w:pPr>
        <w:pStyle w:val="DHHSbody"/>
      </w:pPr>
      <w:r w:rsidRPr="00B76A81">
        <w:t xml:space="preserve">Complaints and concerns </w:t>
      </w:r>
      <w:r w:rsidR="00661CEA">
        <w:t>about</w:t>
      </w:r>
      <w:r w:rsidR="00661CEA" w:rsidRPr="00B76A81">
        <w:t xml:space="preserve"> </w:t>
      </w:r>
      <w:r w:rsidRPr="00B76A81">
        <w:t>local AMHS administration of the CSF may be directed to:</w:t>
      </w:r>
    </w:p>
    <w:p w14:paraId="54CDE14B" w14:textId="77777777" w:rsidR="0059286E" w:rsidRPr="00B76A81" w:rsidRDefault="0059286E" w:rsidP="002E3906">
      <w:pPr>
        <w:pStyle w:val="DHHSbullet1"/>
      </w:pPr>
      <w:r w:rsidRPr="00B76A81">
        <w:t>the AMHS in the first instance</w:t>
      </w:r>
    </w:p>
    <w:p w14:paraId="7948E8D6" w14:textId="05219D3D" w:rsidR="0059286E" w:rsidRPr="00B76A81" w:rsidRDefault="0059286E" w:rsidP="002E3906">
      <w:pPr>
        <w:pStyle w:val="DHHSbullet1"/>
      </w:pPr>
      <w:r w:rsidRPr="00B76A81">
        <w:t xml:space="preserve">Tandem as </w:t>
      </w:r>
      <w:r w:rsidR="00661CEA">
        <w:t xml:space="preserve">the </w:t>
      </w:r>
      <w:r w:rsidRPr="00B76A81">
        <w:t>central administrator, if required, on (03) 8803 5504 or</w:t>
      </w:r>
      <w:r w:rsidRPr="00B35101">
        <w:rPr>
          <w:rStyle w:val="Hyperlink"/>
        </w:rPr>
        <w:t xml:space="preserve"> </w:t>
      </w:r>
      <w:hyperlink r:id="rId33" w:history="1">
        <w:r w:rsidRPr="00B35101">
          <w:rPr>
            <w:rStyle w:val="Hyperlink"/>
          </w:rPr>
          <w:t>email the CSF administrator</w:t>
        </w:r>
      </w:hyperlink>
      <w:r w:rsidRPr="00B76A81">
        <w:t xml:space="preserve"> &lt;</w:t>
      </w:r>
      <w:r w:rsidRPr="00B76A81">
        <w:rPr>
          <w:rFonts w:cs="Arial"/>
        </w:rPr>
        <w:t>csf@tandemcarers.org.au&gt;</w:t>
      </w:r>
      <w:r w:rsidR="00661CEA">
        <w:rPr>
          <w:rFonts w:cs="Arial"/>
        </w:rPr>
        <w:t>.</w:t>
      </w:r>
    </w:p>
    <w:p w14:paraId="7D195DD6" w14:textId="7599D70B" w:rsidR="0059286E" w:rsidRPr="00B76A81" w:rsidRDefault="0059286E" w:rsidP="002E3906">
      <w:pPr>
        <w:pStyle w:val="DHHSbodyafterbullets"/>
      </w:pPr>
      <w:r w:rsidRPr="00B76A81">
        <w:t xml:space="preserve">Complaints </w:t>
      </w:r>
      <w:r w:rsidR="00661CEA">
        <w:t xml:space="preserve">about </w:t>
      </w:r>
      <w:r w:rsidRPr="00B76A81">
        <w:t>the centralised Tandem administration of the CSF may be directed to:</w:t>
      </w:r>
    </w:p>
    <w:p w14:paraId="5131E3EF" w14:textId="29DBAF71" w:rsidR="0059286E" w:rsidRPr="00B76A81" w:rsidRDefault="0059286E" w:rsidP="002E3906">
      <w:pPr>
        <w:pStyle w:val="DHHSbullet1"/>
      </w:pPr>
      <w:r w:rsidRPr="00B76A81">
        <w:t xml:space="preserve">Tandem on (03) 8803 5504 or </w:t>
      </w:r>
      <w:hyperlink r:id="rId34" w:history="1">
        <w:r w:rsidRPr="00B35101">
          <w:rPr>
            <w:rStyle w:val="Hyperlink"/>
          </w:rPr>
          <w:t>email the CSF administrator</w:t>
        </w:r>
      </w:hyperlink>
      <w:r w:rsidRPr="00B76A81">
        <w:t xml:space="preserve"> &lt;</w:t>
      </w:r>
      <w:r w:rsidRPr="00B76A81">
        <w:rPr>
          <w:rFonts w:cs="Arial"/>
        </w:rPr>
        <w:t>csf@tandemcarers.org.au&gt;</w:t>
      </w:r>
    </w:p>
    <w:p w14:paraId="02023825" w14:textId="6BE651FF" w:rsidR="0059286E" w:rsidRPr="00B76A81" w:rsidRDefault="0059286E" w:rsidP="002E3906">
      <w:pPr>
        <w:pStyle w:val="DHHSbullet1"/>
      </w:pPr>
      <w:r w:rsidRPr="00B76A81">
        <w:t>the Independent CSF Advisory Group via the Tandem chief executive officer</w:t>
      </w:r>
      <w:r w:rsidRPr="00B76A81">
        <w:rPr>
          <w:color w:val="0000FF"/>
        </w:rPr>
        <w:t xml:space="preserve"> </w:t>
      </w:r>
      <w:r w:rsidRPr="00B76A81">
        <w:t>on (03) 8803 5555.</w:t>
      </w:r>
    </w:p>
    <w:p w14:paraId="61CC0B7B" w14:textId="7DE49C91" w:rsidR="0059286E" w:rsidRPr="00B76A81" w:rsidRDefault="00661CEA" w:rsidP="002E3906">
      <w:pPr>
        <w:pStyle w:val="DHHSbodyafterbullets"/>
        <w:rPr>
          <w:b/>
          <w:bCs/>
        </w:rPr>
      </w:pPr>
      <w:r>
        <w:rPr>
          <w:b/>
          <w:bCs/>
        </w:rPr>
        <w:t>More</w:t>
      </w:r>
      <w:r w:rsidR="0059286E" w:rsidRPr="00B76A81">
        <w:rPr>
          <w:b/>
          <w:bCs/>
        </w:rPr>
        <w:t xml:space="preserve"> information about the Mental Health Carer Support Fund is available from Tandem: </w:t>
      </w:r>
    </w:p>
    <w:p w14:paraId="3F89CE6F" w14:textId="7718E5CA" w:rsidR="0059286E" w:rsidRPr="00B76A81" w:rsidRDefault="00326AC7" w:rsidP="002E3906">
      <w:pPr>
        <w:pStyle w:val="DHHSbullet1"/>
      </w:pPr>
      <w:hyperlink r:id="rId35" w:history="1">
        <w:r w:rsidR="0059286E" w:rsidRPr="00B76A81">
          <w:rPr>
            <w:rStyle w:val="Hyperlink"/>
          </w:rPr>
          <w:t>Tandem website</w:t>
        </w:r>
      </w:hyperlink>
      <w:r w:rsidR="0059286E" w:rsidRPr="00B76A81">
        <w:t xml:space="preserve"> &lt;www.tandemcarers.org.au&gt;</w:t>
      </w:r>
    </w:p>
    <w:p w14:paraId="24C15191" w14:textId="46576D79" w:rsidR="0059286E" w:rsidRPr="00B76A81" w:rsidRDefault="00326AC7" w:rsidP="002E3906">
      <w:pPr>
        <w:pStyle w:val="DHHSbullet1"/>
        <w:rPr>
          <w:color w:val="0000FF"/>
        </w:rPr>
      </w:pPr>
      <w:hyperlink r:id="rId36" w:history="1">
        <w:r w:rsidR="00661CEA">
          <w:rPr>
            <w:rStyle w:val="Hyperlink"/>
          </w:rPr>
          <w:t>e</w:t>
        </w:r>
        <w:r w:rsidR="0059286E" w:rsidRPr="00B76A81">
          <w:rPr>
            <w:rStyle w:val="Hyperlink"/>
          </w:rPr>
          <w:t>mail the CSF Administrator</w:t>
        </w:r>
      </w:hyperlink>
      <w:r w:rsidR="0059286E" w:rsidRPr="00B76A81">
        <w:t xml:space="preserve"> &lt;csf@tandemcarers.org.au&gt;</w:t>
      </w:r>
    </w:p>
    <w:p w14:paraId="2762E7F7" w14:textId="230F8C1B" w:rsidR="0059286E" w:rsidRPr="00B76A81" w:rsidRDefault="00661CEA" w:rsidP="002E3906">
      <w:pPr>
        <w:pStyle w:val="DHHSbullet1"/>
      </w:pPr>
      <w:r>
        <w:t>call</w:t>
      </w:r>
      <w:r w:rsidR="0059286E" w:rsidRPr="00B76A81">
        <w:t xml:space="preserve"> (03) 8803 5504</w:t>
      </w:r>
      <w:r w:rsidR="002E3906" w:rsidRPr="00B76A81">
        <w:t>.</w:t>
      </w:r>
    </w:p>
    <w:p w14:paraId="1C05C6A3" w14:textId="77777777" w:rsidR="0059286E" w:rsidRPr="00B76A81" w:rsidRDefault="0059286E" w:rsidP="006B65F6">
      <w:pPr>
        <w:pStyle w:val="DHHSbody"/>
        <w:rPr>
          <w:color w:val="004EA8"/>
          <w:sz w:val="44"/>
          <w:szCs w:val="44"/>
        </w:rPr>
      </w:pPr>
      <w:bookmarkStart w:id="77" w:name="_Toc474164936"/>
      <w:r w:rsidRPr="00B76A81">
        <w:br w:type="page"/>
      </w:r>
    </w:p>
    <w:p w14:paraId="24A22D43" w14:textId="267EB6C9" w:rsidR="0059286E" w:rsidRPr="00B76A81" w:rsidRDefault="0059286E" w:rsidP="0059286E">
      <w:pPr>
        <w:pStyle w:val="Heading1"/>
      </w:pPr>
      <w:bookmarkStart w:id="78" w:name="_Toc45285672"/>
      <w:bookmarkStart w:id="79" w:name="_Toc51943070"/>
      <w:bookmarkStart w:id="80" w:name="_Hlk39075448"/>
      <w:r w:rsidRPr="00B76A81">
        <w:lastRenderedPageBreak/>
        <w:t xml:space="preserve">Appendix 1: </w:t>
      </w:r>
      <w:bookmarkStart w:id="81" w:name="_Toc474164937"/>
      <w:bookmarkEnd w:id="77"/>
      <w:r w:rsidR="00DB7586" w:rsidRPr="00B76A81">
        <w:t>V</w:t>
      </w:r>
      <w:r w:rsidRPr="00B76A81">
        <w:t>oucher distribution record template</w:t>
      </w:r>
      <w:bookmarkEnd w:id="78"/>
      <w:bookmarkEnd w:id="81"/>
      <w:bookmarkEnd w:id="79"/>
    </w:p>
    <w:bookmarkEnd w:id="80"/>
    <w:p w14:paraId="7CAF3934" w14:textId="76A2F574" w:rsidR="0059286E" w:rsidRPr="00B76A81" w:rsidRDefault="0059286E" w:rsidP="0059286E">
      <w:pPr>
        <w:pStyle w:val="DHHSbody"/>
        <w:rPr>
          <w:rStyle w:val="Strong"/>
        </w:rPr>
      </w:pPr>
      <w:r w:rsidRPr="00B76A81">
        <w:rPr>
          <w:rStyle w:val="Strong"/>
        </w:rPr>
        <w:t>A</w:t>
      </w:r>
      <w:r w:rsidR="001A1EE3">
        <w:rPr>
          <w:rStyle w:val="Strong"/>
        </w:rPr>
        <w:t>rea mental health services</w:t>
      </w:r>
      <w:r w:rsidRPr="00B76A81">
        <w:rPr>
          <w:rStyle w:val="Strong"/>
        </w:rPr>
        <w:t xml:space="preserve"> must keep records of their voucher distribution to </w:t>
      </w:r>
      <w:r w:rsidR="00AD05BC">
        <w:rPr>
          <w:rStyle w:val="Strong"/>
        </w:rPr>
        <w:t xml:space="preserve">monitor </w:t>
      </w:r>
      <w:r w:rsidRPr="00B76A81">
        <w:rPr>
          <w:rStyle w:val="Strong"/>
        </w:rPr>
        <w:t>whether the distribution of CSF vouchers to carers is occurring fair</w:t>
      </w:r>
      <w:r w:rsidR="00AD05BC">
        <w:rPr>
          <w:rStyle w:val="Strong"/>
        </w:rPr>
        <w:t>ly</w:t>
      </w:r>
      <w:r w:rsidRPr="00B76A81">
        <w:rPr>
          <w:rStyle w:val="Strong"/>
        </w:rPr>
        <w:t>.</w:t>
      </w:r>
    </w:p>
    <w:p w14:paraId="6932863C" w14:textId="4D2B5EA4" w:rsidR="0059286E" w:rsidRPr="00B76A81" w:rsidRDefault="00CA439D" w:rsidP="0059286E">
      <w:pPr>
        <w:pStyle w:val="DHHSbody"/>
      </w:pPr>
      <w:r>
        <w:t xml:space="preserve">AMHS are responsible </w:t>
      </w:r>
      <w:r w:rsidR="0059286E" w:rsidRPr="00B76A81">
        <w:t xml:space="preserve">for monitoring voucher distribution within cap, if applicable. </w:t>
      </w:r>
      <w:r>
        <w:t xml:space="preserve">Before </w:t>
      </w:r>
      <w:r w:rsidR="0059286E" w:rsidRPr="00B76A81">
        <w:t>distributing voucher</w:t>
      </w:r>
      <w:r>
        <w:t>s</w:t>
      </w:r>
      <w:r w:rsidR="0059286E" w:rsidRPr="00B76A81">
        <w:t xml:space="preserve"> to carers, AMHS should check that the individual carer/family cap has not already exceeded their annual cap. </w:t>
      </w:r>
      <w:r>
        <w:t>Tandem will oversee cap c</w:t>
      </w:r>
      <w:r w:rsidR="0059286E" w:rsidRPr="00B76A81">
        <w:t>ompliance.</w:t>
      </w:r>
    </w:p>
    <w:p w14:paraId="52549FDC" w14:textId="1D9CDECB" w:rsidR="0059286E" w:rsidRPr="00B76A81" w:rsidRDefault="0059286E" w:rsidP="0059286E">
      <w:pPr>
        <w:pStyle w:val="DHHSbody"/>
      </w:pPr>
      <w:r w:rsidRPr="00B76A81">
        <w:t xml:space="preserve">AMHS </w:t>
      </w:r>
      <w:r w:rsidR="00CA439D">
        <w:t xml:space="preserve">must </w:t>
      </w:r>
      <w:r w:rsidRPr="00B76A81">
        <w:t xml:space="preserve">record every voucher distribution </w:t>
      </w:r>
      <w:r w:rsidR="00CA439D" w:rsidRPr="00B76A81">
        <w:t xml:space="preserve">electronically </w:t>
      </w:r>
      <w:r w:rsidRPr="00B76A81">
        <w:t>using, at a minimum, the template provided below.</w:t>
      </w:r>
    </w:p>
    <w:p w14:paraId="1385A2A0" w14:textId="158EC92C" w:rsidR="0059286E" w:rsidRPr="00B76A81" w:rsidRDefault="0059286E" w:rsidP="0059286E">
      <w:pPr>
        <w:pStyle w:val="DHHSbody"/>
      </w:pPr>
      <w:r w:rsidRPr="00B76A81">
        <w:t xml:space="preserve">At the end of each quarter, AMHS </w:t>
      </w:r>
      <w:r w:rsidR="00CA439D">
        <w:t>must</w:t>
      </w:r>
      <w:r w:rsidRPr="00B76A81">
        <w:t xml:space="preserve"> provide voucher distribution records to Tandem (the central CSF administrator). Tandem will collate and analyse this data to monitor organisational and statewide patterns of voucher use. Patterns of use will be reported to AMHS and the department quarterly and annually.</w:t>
      </w:r>
    </w:p>
    <w:p w14:paraId="08BC9697" w14:textId="7616C60F" w:rsidR="0059286E" w:rsidRPr="00B76A81" w:rsidRDefault="0059286E" w:rsidP="0059286E">
      <w:pPr>
        <w:pStyle w:val="DHHSbody"/>
      </w:pPr>
      <w:r w:rsidRPr="00B76A81">
        <w:t xml:space="preserve">Submit this voucher record quarterly </w:t>
      </w:r>
      <w:r w:rsidR="00753497">
        <w:t xml:space="preserve">by </w:t>
      </w:r>
      <w:hyperlink r:id="rId37" w:history="1">
        <w:r w:rsidR="00753497" w:rsidRPr="00B35101">
          <w:rPr>
            <w:rStyle w:val="Hyperlink"/>
          </w:rPr>
          <w:t>emailing</w:t>
        </w:r>
        <w:r w:rsidRPr="00B35101">
          <w:rPr>
            <w:rStyle w:val="Hyperlink"/>
          </w:rPr>
          <w:t xml:space="preserve"> the CSF </w:t>
        </w:r>
        <w:r w:rsidR="00753497" w:rsidRPr="00B35101">
          <w:rPr>
            <w:rStyle w:val="Hyperlink"/>
          </w:rPr>
          <w:t>a</w:t>
        </w:r>
        <w:r w:rsidRPr="00B35101">
          <w:rPr>
            <w:rStyle w:val="Hyperlink"/>
          </w:rPr>
          <w:t>dministrator</w:t>
        </w:r>
      </w:hyperlink>
      <w:r w:rsidRPr="00B76A81">
        <w:t xml:space="preserve"> &lt;csf@tandemcarers.org.au&gt;</w:t>
      </w:r>
      <w:r w:rsidR="00753497">
        <w:t>.</w:t>
      </w:r>
    </w:p>
    <w:p w14:paraId="36E070EC" w14:textId="62B9148C" w:rsidR="0059286E" w:rsidRPr="00B76A81" w:rsidRDefault="0059286E" w:rsidP="0059286E">
      <w:pPr>
        <w:pStyle w:val="DHHSbody"/>
      </w:pPr>
      <w:r w:rsidRPr="00B76A81">
        <w:t xml:space="preserve">For </w:t>
      </w:r>
      <w:r w:rsidR="00753497">
        <w:t xml:space="preserve">phone </w:t>
      </w:r>
      <w:r w:rsidRPr="00B76A81">
        <w:t>enquiries</w:t>
      </w:r>
      <w:r w:rsidR="00753497">
        <w:t>, call</w:t>
      </w:r>
      <w:r w:rsidRPr="00B76A81">
        <w:t xml:space="preserve"> (03) 8803 5504.</w:t>
      </w:r>
    </w:p>
    <w:tbl>
      <w:tblPr>
        <w:tblStyle w:val="TableGrid"/>
        <w:tblW w:w="0" w:type="auto"/>
        <w:tblLook w:val="04A0" w:firstRow="1" w:lastRow="0" w:firstColumn="1" w:lastColumn="0" w:noHBand="0" w:noVBand="1"/>
      </w:tblPr>
      <w:tblGrid>
        <w:gridCol w:w="1701"/>
        <w:gridCol w:w="7597"/>
      </w:tblGrid>
      <w:tr w:rsidR="0059286E" w:rsidRPr="00B76A81" w14:paraId="3C0ADBDD" w14:textId="77777777" w:rsidTr="00BB4672">
        <w:tc>
          <w:tcPr>
            <w:tcW w:w="1701" w:type="dxa"/>
            <w:tcBorders>
              <w:top w:val="nil"/>
              <w:left w:val="nil"/>
              <w:bottom w:val="nil"/>
              <w:right w:val="nil"/>
            </w:tcBorders>
          </w:tcPr>
          <w:p w14:paraId="5B58DA29" w14:textId="77777777" w:rsidR="0059286E" w:rsidRPr="00B76A81" w:rsidRDefault="0059286E" w:rsidP="008A3AE0">
            <w:pPr>
              <w:pStyle w:val="DHHSbody"/>
              <w:rPr>
                <w:rStyle w:val="Strong"/>
              </w:rPr>
            </w:pPr>
            <w:r w:rsidRPr="00B76A81">
              <w:rPr>
                <w:rStyle w:val="Strong"/>
              </w:rPr>
              <w:t xml:space="preserve">AMHS name: </w:t>
            </w:r>
          </w:p>
        </w:tc>
        <w:tc>
          <w:tcPr>
            <w:tcW w:w="7597" w:type="dxa"/>
            <w:tcBorders>
              <w:left w:val="nil"/>
            </w:tcBorders>
          </w:tcPr>
          <w:p w14:paraId="7AB63B38" w14:textId="77777777" w:rsidR="0059286E" w:rsidRPr="00B76A81" w:rsidRDefault="0059286E" w:rsidP="008A3AE0">
            <w:pPr>
              <w:pStyle w:val="DHHSbody"/>
            </w:pPr>
          </w:p>
        </w:tc>
      </w:tr>
    </w:tbl>
    <w:p w14:paraId="07A18554" w14:textId="77777777" w:rsidR="0059286E" w:rsidRPr="00B76A81" w:rsidRDefault="0059286E" w:rsidP="0059286E">
      <w:pPr>
        <w:pStyle w:val="DHHSbody"/>
      </w:pPr>
    </w:p>
    <w:tbl>
      <w:tblPr>
        <w:tblStyle w:val="TableGrid"/>
        <w:tblW w:w="9356" w:type="dxa"/>
        <w:tblLook w:val="04A0" w:firstRow="1" w:lastRow="0" w:firstColumn="1" w:lastColumn="0" w:noHBand="0" w:noVBand="1"/>
      </w:tblPr>
      <w:tblGrid>
        <w:gridCol w:w="831"/>
        <w:gridCol w:w="1659"/>
        <w:gridCol w:w="1398"/>
        <w:gridCol w:w="1740"/>
        <w:gridCol w:w="1176"/>
        <w:gridCol w:w="1276"/>
        <w:gridCol w:w="1276"/>
      </w:tblGrid>
      <w:tr w:rsidR="0059286E" w:rsidRPr="00B76A81" w14:paraId="39FD23F7" w14:textId="77777777" w:rsidTr="00BB4672">
        <w:trPr>
          <w:tblHeader/>
        </w:trPr>
        <w:tc>
          <w:tcPr>
            <w:tcW w:w="831" w:type="dxa"/>
          </w:tcPr>
          <w:p w14:paraId="5A84AB66" w14:textId="77777777" w:rsidR="0059286E" w:rsidRPr="00B76A81" w:rsidRDefault="0059286E" w:rsidP="008A3AE0">
            <w:pPr>
              <w:pStyle w:val="DHHStablecolhead"/>
            </w:pPr>
            <w:r w:rsidRPr="00B76A81">
              <w:t>Date</w:t>
            </w:r>
          </w:p>
        </w:tc>
        <w:tc>
          <w:tcPr>
            <w:tcW w:w="1659" w:type="dxa"/>
          </w:tcPr>
          <w:p w14:paraId="2EB057A0" w14:textId="77777777" w:rsidR="0059286E" w:rsidRPr="00B76A81" w:rsidRDefault="0059286E" w:rsidP="008A3AE0">
            <w:pPr>
              <w:pStyle w:val="DHHStablecolhead"/>
            </w:pPr>
            <w:r w:rsidRPr="00B76A81">
              <w:t>Carer name (first name, surname)</w:t>
            </w:r>
          </w:p>
        </w:tc>
        <w:tc>
          <w:tcPr>
            <w:tcW w:w="1398" w:type="dxa"/>
          </w:tcPr>
          <w:p w14:paraId="3E1E5A5C" w14:textId="77777777" w:rsidR="0059286E" w:rsidRPr="00B76A81" w:rsidRDefault="0059286E" w:rsidP="008A3AE0">
            <w:pPr>
              <w:pStyle w:val="DHHStablecolhead"/>
            </w:pPr>
            <w:r w:rsidRPr="00B76A81">
              <w:t>Consumer UR number</w:t>
            </w:r>
          </w:p>
        </w:tc>
        <w:tc>
          <w:tcPr>
            <w:tcW w:w="1740" w:type="dxa"/>
          </w:tcPr>
          <w:p w14:paraId="2D7D4EF8" w14:textId="77777777" w:rsidR="0059286E" w:rsidRPr="00B76A81" w:rsidRDefault="0059286E" w:rsidP="008A3AE0">
            <w:pPr>
              <w:pStyle w:val="DHHStablecolhead"/>
            </w:pPr>
            <w:r w:rsidRPr="00B76A81">
              <w:t>Voucher for… (for example, petrol, groceries, taxi)</w:t>
            </w:r>
          </w:p>
        </w:tc>
        <w:tc>
          <w:tcPr>
            <w:tcW w:w="1176" w:type="dxa"/>
          </w:tcPr>
          <w:p w14:paraId="3B4B47E0" w14:textId="77777777" w:rsidR="0059286E" w:rsidRPr="00B76A81" w:rsidRDefault="0059286E" w:rsidP="008A3AE0">
            <w:pPr>
              <w:pStyle w:val="DHHStablecolhead"/>
            </w:pPr>
            <w:r w:rsidRPr="00B76A81">
              <w:t>Voucher value ($)</w:t>
            </w:r>
          </w:p>
        </w:tc>
        <w:tc>
          <w:tcPr>
            <w:tcW w:w="1276" w:type="dxa"/>
          </w:tcPr>
          <w:p w14:paraId="521136AA" w14:textId="77777777" w:rsidR="0059286E" w:rsidRPr="00B76A81" w:rsidRDefault="0059286E" w:rsidP="008A3AE0">
            <w:pPr>
              <w:pStyle w:val="DHHStablecolhead"/>
            </w:pPr>
            <w:r w:rsidRPr="00B76A81">
              <w:t>Tandem notified of voucher receipt (triggers activation)</w:t>
            </w:r>
          </w:p>
        </w:tc>
        <w:tc>
          <w:tcPr>
            <w:tcW w:w="1276" w:type="dxa"/>
          </w:tcPr>
          <w:p w14:paraId="796AECE0" w14:textId="77777777" w:rsidR="0059286E" w:rsidRPr="00B76A81" w:rsidRDefault="0059286E" w:rsidP="008A3AE0">
            <w:pPr>
              <w:pStyle w:val="DHHStablecolhead"/>
            </w:pPr>
            <w:r w:rsidRPr="00B76A81">
              <w:t>Carer signed for voucher</w:t>
            </w:r>
          </w:p>
          <w:p w14:paraId="160E3467" w14:textId="77777777" w:rsidR="0059286E" w:rsidRPr="00B76A81" w:rsidRDefault="0059286E" w:rsidP="008A3AE0">
            <w:pPr>
              <w:pStyle w:val="DHHStablecolhead"/>
            </w:pPr>
            <w:r w:rsidRPr="00B76A81">
              <w:t>Y/N</w:t>
            </w:r>
          </w:p>
        </w:tc>
      </w:tr>
      <w:tr w:rsidR="0059286E" w:rsidRPr="00B76A81" w14:paraId="71697BDF" w14:textId="77777777" w:rsidTr="00BB4672">
        <w:tc>
          <w:tcPr>
            <w:tcW w:w="831" w:type="dxa"/>
          </w:tcPr>
          <w:p w14:paraId="3F599EAF" w14:textId="77777777" w:rsidR="0059286E" w:rsidRPr="00B76A81" w:rsidRDefault="0059286E" w:rsidP="008A3AE0">
            <w:pPr>
              <w:pStyle w:val="DHHSbody"/>
            </w:pPr>
          </w:p>
        </w:tc>
        <w:tc>
          <w:tcPr>
            <w:tcW w:w="1659" w:type="dxa"/>
          </w:tcPr>
          <w:p w14:paraId="6C298540" w14:textId="77777777" w:rsidR="0059286E" w:rsidRPr="00B76A81" w:rsidRDefault="0059286E" w:rsidP="008A3AE0">
            <w:pPr>
              <w:pStyle w:val="DHHSbody"/>
            </w:pPr>
          </w:p>
        </w:tc>
        <w:tc>
          <w:tcPr>
            <w:tcW w:w="1398" w:type="dxa"/>
          </w:tcPr>
          <w:p w14:paraId="0FE9D4C0" w14:textId="77777777" w:rsidR="0059286E" w:rsidRPr="00B76A81" w:rsidRDefault="0059286E" w:rsidP="008A3AE0">
            <w:pPr>
              <w:pStyle w:val="DHHSbody"/>
            </w:pPr>
          </w:p>
        </w:tc>
        <w:tc>
          <w:tcPr>
            <w:tcW w:w="1740" w:type="dxa"/>
          </w:tcPr>
          <w:p w14:paraId="18937DD4" w14:textId="77777777" w:rsidR="0059286E" w:rsidRPr="00B76A81" w:rsidRDefault="0059286E" w:rsidP="008A3AE0">
            <w:pPr>
              <w:pStyle w:val="DHHSbody"/>
            </w:pPr>
          </w:p>
        </w:tc>
        <w:tc>
          <w:tcPr>
            <w:tcW w:w="1176" w:type="dxa"/>
          </w:tcPr>
          <w:p w14:paraId="6D4EEAB5" w14:textId="77777777" w:rsidR="0059286E" w:rsidRPr="00B76A81" w:rsidRDefault="0059286E" w:rsidP="008A3AE0">
            <w:pPr>
              <w:pStyle w:val="DHHSbody"/>
            </w:pPr>
          </w:p>
        </w:tc>
        <w:tc>
          <w:tcPr>
            <w:tcW w:w="1276" w:type="dxa"/>
          </w:tcPr>
          <w:p w14:paraId="078F008B" w14:textId="77777777" w:rsidR="0059286E" w:rsidRPr="00B76A81" w:rsidRDefault="0059286E" w:rsidP="008A3AE0">
            <w:pPr>
              <w:pStyle w:val="DHHSbody"/>
            </w:pPr>
          </w:p>
        </w:tc>
        <w:tc>
          <w:tcPr>
            <w:tcW w:w="1276" w:type="dxa"/>
          </w:tcPr>
          <w:p w14:paraId="14147F6F" w14:textId="77777777" w:rsidR="0059286E" w:rsidRPr="00B76A81" w:rsidRDefault="0059286E" w:rsidP="008A3AE0">
            <w:pPr>
              <w:pStyle w:val="DHHSbody"/>
            </w:pPr>
          </w:p>
        </w:tc>
      </w:tr>
      <w:tr w:rsidR="0059286E" w:rsidRPr="00B76A81" w14:paraId="3BED9D20" w14:textId="77777777" w:rsidTr="00BB4672">
        <w:tc>
          <w:tcPr>
            <w:tcW w:w="831" w:type="dxa"/>
          </w:tcPr>
          <w:p w14:paraId="76C1FCD7" w14:textId="77777777" w:rsidR="0059286E" w:rsidRPr="00B76A81" w:rsidRDefault="0059286E" w:rsidP="008A3AE0">
            <w:pPr>
              <w:pStyle w:val="DHHSbody"/>
            </w:pPr>
          </w:p>
        </w:tc>
        <w:tc>
          <w:tcPr>
            <w:tcW w:w="1659" w:type="dxa"/>
          </w:tcPr>
          <w:p w14:paraId="0B0DB46D" w14:textId="77777777" w:rsidR="0059286E" w:rsidRPr="00B76A81" w:rsidRDefault="0059286E" w:rsidP="008A3AE0">
            <w:pPr>
              <w:pStyle w:val="DHHSbody"/>
            </w:pPr>
          </w:p>
        </w:tc>
        <w:tc>
          <w:tcPr>
            <w:tcW w:w="1398" w:type="dxa"/>
          </w:tcPr>
          <w:p w14:paraId="27CF77DD" w14:textId="77777777" w:rsidR="0059286E" w:rsidRPr="00B76A81" w:rsidRDefault="0059286E" w:rsidP="008A3AE0">
            <w:pPr>
              <w:pStyle w:val="DHHSbody"/>
            </w:pPr>
          </w:p>
        </w:tc>
        <w:tc>
          <w:tcPr>
            <w:tcW w:w="1740" w:type="dxa"/>
          </w:tcPr>
          <w:p w14:paraId="5D3630F3" w14:textId="77777777" w:rsidR="0059286E" w:rsidRPr="00B76A81" w:rsidRDefault="0059286E" w:rsidP="008A3AE0">
            <w:pPr>
              <w:pStyle w:val="DHHSbody"/>
            </w:pPr>
          </w:p>
        </w:tc>
        <w:tc>
          <w:tcPr>
            <w:tcW w:w="1176" w:type="dxa"/>
          </w:tcPr>
          <w:p w14:paraId="0300C80D" w14:textId="77777777" w:rsidR="0059286E" w:rsidRPr="00B76A81" w:rsidRDefault="0059286E" w:rsidP="008A3AE0">
            <w:pPr>
              <w:pStyle w:val="DHHSbody"/>
            </w:pPr>
          </w:p>
        </w:tc>
        <w:tc>
          <w:tcPr>
            <w:tcW w:w="1276" w:type="dxa"/>
          </w:tcPr>
          <w:p w14:paraId="5007522B" w14:textId="77777777" w:rsidR="0059286E" w:rsidRPr="00B76A81" w:rsidRDefault="0059286E" w:rsidP="008A3AE0">
            <w:pPr>
              <w:pStyle w:val="DHHSbody"/>
            </w:pPr>
          </w:p>
        </w:tc>
        <w:tc>
          <w:tcPr>
            <w:tcW w:w="1276" w:type="dxa"/>
          </w:tcPr>
          <w:p w14:paraId="43E82559" w14:textId="77777777" w:rsidR="0059286E" w:rsidRPr="00B76A81" w:rsidRDefault="0059286E" w:rsidP="008A3AE0">
            <w:pPr>
              <w:pStyle w:val="DHHSbody"/>
            </w:pPr>
          </w:p>
        </w:tc>
      </w:tr>
      <w:tr w:rsidR="0059286E" w:rsidRPr="00B76A81" w14:paraId="572DC82A" w14:textId="77777777" w:rsidTr="00BB4672">
        <w:tc>
          <w:tcPr>
            <w:tcW w:w="831" w:type="dxa"/>
          </w:tcPr>
          <w:p w14:paraId="25B1ADA4" w14:textId="77777777" w:rsidR="0059286E" w:rsidRPr="00B76A81" w:rsidRDefault="0059286E" w:rsidP="008A3AE0">
            <w:pPr>
              <w:pStyle w:val="DHHSbody"/>
            </w:pPr>
          </w:p>
        </w:tc>
        <w:tc>
          <w:tcPr>
            <w:tcW w:w="1659" w:type="dxa"/>
          </w:tcPr>
          <w:p w14:paraId="2C5F3E54" w14:textId="77777777" w:rsidR="0059286E" w:rsidRPr="00B76A81" w:rsidRDefault="0059286E" w:rsidP="008A3AE0">
            <w:pPr>
              <w:pStyle w:val="DHHSbody"/>
            </w:pPr>
          </w:p>
        </w:tc>
        <w:tc>
          <w:tcPr>
            <w:tcW w:w="1398" w:type="dxa"/>
          </w:tcPr>
          <w:p w14:paraId="5CE6D682" w14:textId="77777777" w:rsidR="0059286E" w:rsidRPr="00B76A81" w:rsidRDefault="0059286E" w:rsidP="008A3AE0">
            <w:pPr>
              <w:pStyle w:val="DHHSbody"/>
            </w:pPr>
          </w:p>
        </w:tc>
        <w:tc>
          <w:tcPr>
            <w:tcW w:w="1740" w:type="dxa"/>
          </w:tcPr>
          <w:p w14:paraId="1EC029B2" w14:textId="77777777" w:rsidR="0059286E" w:rsidRPr="00B76A81" w:rsidRDefault="0059286E" w:rsidP="008A3AE0">
            <w:pPr>
              <w:pStyle w:val="DHHSbody"/>
            </w:pPr>
          </w:p>
        </w:tc>
        <w:tc>
          <w:tcPr>
            <w:tcW w:w="1176" w:type="dxa"/>
          </w:tcPr>
          <w:p w14:paraId="4D0C5DCA" w14:textId="77777777" w:rsidR="0059286E" w:rsidRPr="00B76A81" w:rsidRDefault="0059286E" w:rsidP="008A3AE0">
            <w:pPr>
              <w:pStyle w:val="DHHSbody"/>
            </w:pPr>
          </w:p>
        </w:tc>
        <w:tc>
          <w:tcPr>
            <w:tcW w:w="1276" w:type="dxa"/>
          </w:tcPr>
          <w:p w14:paraId="6E76FD33" w14:textId="77777777" w:rsidR="0059286E" w:rsidRPr="00B76A81" w:rsidRDefault="0059286E" w:rsidP="008A3AE0">
            <w:pPr>
              <w:pStyle w:val="DHHSbody"/>
            </w:pPr>
          </w:p>
        </w:tc>
        <w:tc>
          <w:tcPr>
            <w:tcW w:w="1276" w:type="dxa"/>
          </w:tcPr>
          <w:p w14:paraId="65DC802A" w14:textId="77777777" w:rsidR="0059286E" w:rsidRPr="00B76A81" w:rsidRDefault="0059286E" w:rsidP="008A3AE0">
            <w:pPr>
              <w:pStyle w:val="DHHSbody"/>
            </w:pPr>
          </w:p>
        </w:tc>
      </w:tr>
      <w:tr w:rsidR="0059286E" w:rsidRPr="00B76A81" w14:paraId="3EDE31BD" w14:textId="77777777" w:rsidTr="00BB4672">
        <w:tc>
          <w:tcPr>
            <w:tcW w:w="831" w:type="dxa"/>
          </w:tcPr>
          <w:p w14:paraId="1264C53C" w14:textId="77777777" w:rsidR="0059286E" w:rsidRPr="00B76A81" w:rsidRDefault="0059286E" w:rsidP="008A3AE0">
            <w:pPr>
              <w:pStyle w:val="DHHSbody"/>
            </w:pPr>
          </w:p>
        </w:tc>
        <w:tc>
          <w:tcPr>
            <w:tcW w:w="1659" w:type="dxa"/>
          </w:tcPr>
          <w:p w14:paraId="3EEF3755" w14:textId="77777777" w:rsidR="0059286E" w:rsidRPr="00B76A81" w:rsidRDefault="0059286E" w:rsidP="008A3AE0">
            <w:pPr>
              <w:pStyle w:val="DHHSbody"/>
            </w:pPr>
          </w:p>
        </w:tc>
        <w:tc>
          <w:tcPr>
            <w:tcW w:w="1398" w:type="dxa"/>
          </w:tcPr>
          <w:p w14:paraId="7A2A9BFB" w14:textId="77777777" w:rsidR="0059286E" w:rsidRPr="00B76A81" w:rsidRDefault="0059286E" w:rsidP="008A3AE0">
            <w:pPr>
              <w:pStyle w:val="DHHSbody"/>
            </w:pPr>
          </w:p>
        </w:tc>
        <w:tc>
          <w:tcPr>
            <w:tcW w:w="1740" w:type="dxa"/>
          </w:tcPr>
          <w:p w14:paraId="4FAEDFCC" w14:textId="77777777" w:rsidR="0059286E" w:rsidRPr="00B76A81" w:rsidRDefault="0059286E" w:rsidP="008A3AE0">
            <w:pPr>
              <w:pStyle w:val="DHHSbody"/>
            </w:pPr>
          </w:p>
        </w:tc>
        <w:tc>
          <w:tcPr>
            <w:tcW w:w="1176" w:type="dxa"/>
          </w:tcPr>
          <w:p w14:paraId="02CC7971" w14:textId="77777777" w:rsidR="0059286E" w:rsidRPr="00B76A81" w:rsidRDefault="0059286E" w:rsidP="008A3AE0">
            <w:pPr>
              <w:pStyle w:val="DHHSbody"/>
            </w:pPr>
          </w:p>
        </w:tc>
        <w:tc>
          <w:tcPr>
            <w:tcW w:w="1276" w:type="dxa"/>
          </w:tcPr>
          <w:p w14:paraId="795B9FD7" w14:textId="77777777" w:rsidR="0059286E" w:rsidRPr="00B76A81" w:rsidRDefault="0059286E" w:rsidP="008A3AE0">
            <w:pPr>
              <w:pStyle w:val="DHHSbody"/>
            </w:pPr>
          </w:p>
        </w:tc>
        <w:tc>
          <w:tcPr>
            <w:tcW w:w="1276" w:type="dxa"/>
          </w:tcPr>
          <w:p w14:paraId="4B0FF95D" w14:textId="77777777" w:rsidR="0059286E" w:rsidRPr="00B76A81" w:rsidRDefault="0059286E" w:rsidP="008A3AE0">
            <w:pPr>
              <w:pStyle w:val="DHHSbody"/>
            </w:pPr>
          </w:p>
        </w:tc>
      </w:tr>
      <w:tr w:rsidR="0059286E" w:rsidRPr="00B76A81" w14:paraId="0C4304BC" w14:textId="77777777" w:rsidTr="00BB4672">
        <w:tc>
          <w:tcPr>
            <w:tcW w:w="831" w:type="dxa"/>
          </w:tcPr>
          <w:p w14:paraId="6D26E80A" w14:textId="77777777" w:rsidR="0059286E" w:rsidRPr="00B76A81" w:rsidRDefault="0059286E" w:rsidP="008A3AE0">
            <w:pPr>
              <w:pStyle w:val="DHHSbody"/>
            </w:pPr>
          </w:p>
        </w:tc>
        <w:tc>
          <w:tcPr>
            <w:tcW w:w="1659" w:type="dxa"/>
          </w:tcPr>
          <w:p w14:paraId="08A0B34F" w14:textId="77777777" w:rsidR="0059286E" w:rsidRPr="00B76A81" w:rsidRDefault="0059286E" w:rsidP="008A3AE0">
            <w:pPr>
              <w:pStyle w:val="DHHSbody"/>
            </w:pPr>
          </w:p>
        </w:tc>
        <w:tc>
          <w:tcPr>
            <w:tcW w:w="1398" w:type="dxa"/>
          </w:tcPr>
          <w:p w14:paraId="180B91ED" w14:textId="77777777" w:rsidR="0059286E" w:rsidRPr="00B76A81" w:rsidRDefault="0059286E" w:rsidP="008A3AE0">
            <w:pPr>
              <w:pStyle w:val="DHHSbody"/>
            </w:pPr>
          </w:p>
        </w:tc>
        <w:tc>
          <w:tcPr>
            <w:tcW w:w="1740" w:type="dxa"/>
          </w:tcPr>
          <w:p w14:paraId="0EE9FBBB" w14:textId="77777777" w:rsidR="0059286E" w:rsidRPr="00B76A81" w:rsidRDefault="0059286E" w:rsidP="008A3AE0">
            <w:pPr>
              <w:pStyle w:val="DHHSbody"/>
            </w:pPr>
          </w:p>
        </w:tc>
        <w:tc>
          <w:tcPr>
            <w:tcW w:w="1176" w:type="dxa"/>
          </w:tcPr>
          <w:p w14:paraId="416AE51D" w14:textId="77777777" w:rsidR="0059286E" w:rsidRPr="00B76A81" w:rsidRDefault="0059286E" w:rsidP="008A3AE0">
            <w:pPr>
              <w:pStyle w:val="DHHSbody"/>
            </w:pPr>
          </w:p>
        </w:tc>
        <w:tc>
          <w:tcPr>
            <w:tcW w:w="1276" w:type="dxa"/>
          </w:tcPr>
          <w:p w14:paraId="3CE45B82" w14:textId="77777777" w:rsidR="0059286E" w:rsidRPr="00B76A81" w:rsidRDefault="0059286E" w:rsidP="008A3AE0">
            <w:pPr>
              <w:pStyle w:val="DHHSbody"/>
            </w:pPr>
          </w:p>
        </w:tc>
        <w:tc>
          <w:tcPr>
            <w:tcW w:w="1276" w:type="dxa"/>
          </w:tcPr>
          <w:p w14:paraId="1F975921" w14:textId="77777777" w:rsidR="0059286E" w:rsidRPr="00B76A81" w:rsidRDefault="0059286E" w:rsidP="008A3AE0">
            <w:pPr>
              <w:pStyle w:val="DHHSbody"/>
            </w:pPr>
          </w:p>
        </w:tc>
      </w:tr>
      <w:tr w:rsidR="0059286E" w:rsidRPr="00B76A81" w14:paraId="2076F1DA" w14:textId="77777777" w:rsidTr="00BB4672">
        <w:tc>
          <w:tcPr>
            <w:tcW w:w="831" w:type="dxa"/>
          </w:tcPr>
          <w:p w14:paraId="02194730" w14:textId="77777777" w:rsidR="0059286E" w:rsidRPr="00B76A81" w:rsidRDefault="0059286E" w:rsidP="008A3AE0">
            <w:pPr>
              <w:pStyle w:val="DHHSbody"/>
            </w:pPr>
          </w:p>
        </w:tc>
        <w:tc>
          <w:tcPr>
            <w:tcW w:w="1659" w:type="dxa"/>
          </w:tcPr>
          <w:p w14:paraId="1ECCBA55" w14:textId="77777777" w:rsidR="0059286E" w:rsidRPr="00B76A81" w:rsidRDefault="0059286E" w:rsidP="008A3AE0">
            <w:pPr>
              <w:pStyle w:val="DHHSbody"/>
            </w:pPr>
          </w:p>
        </w:tc>
        <w:tc>
          <w:tcPr>
            <w:tcW w:w="1398" w:type="dxa"/>
          </w:tcPr>
          <w:p w14:paraId="2F1503B5" w14:textId="77777777" w:rsidR="0059286E" w:rsidRPr="00B76A81" w:rsidRDefault="0059286E" w:rsidP="008A3AE0">
            <w:pPr>
              <w:pStyle w:val="DHHSbody"/>
            </w:pPr>
          </w:p>
        </w:tc>
        <w:tc>
          <w:tcPr>
            <w:tcW w:w="1740" w:type="dxa"/>
          </w:tcPr>
          <w:p w14:paraId="543C0368" w14:textId="77777777" w:rsidR="0059286E" w:rsidRPr="00B76A81" w:rsidRDefault="0059286E" w:rsidP="008A3AE0">
            <w:pPr>
              <w:pStyle w:val="DHHSbody"/>
            </w:pPr>
          </w:p>
        </w:tc>
        <w:tc>
          <w:tcPr>
            <w:tcW w:w="1176" w:type="dxa"/>
          </w:tcPr>
          <w:p w14:paraId="1D5B7FA8" w14:textId="77777777" w:rsidR="0059286E" w:rsidRPr="00B76A81" w:rsidRDefault="0059286E" w:rsidP="008A3AE0">
            <w:pPr>
              <w:pStyle w:val="DHHSbody"/>
            </w:pPr>
          </w:p>
        </w:tc>
        <w:tc>
          <w:tcPr>
            <w:tcW w:w="1276" w:type="dxa"/>
          </w:tcPr>
          <w:p w14:paraId="5A3CFF76" w14:textId="77777777" w:rsidR="0059286E" w:rsidRPr="00B76A81" w:rsidRDefault="0059286E" w:rsidP="008A3AE0">
            <w:pPr>
              <w:pStyle w:val="DHHSbody"/>
            </w:pPr>
          </w:p>
        </w:tc>
        <w:tc>
          <w:tcPr>
            <w:tcW w:w="1276" w:type="dxa"/>
          </w:tcPr>
          <w:p w14:paraId="71212AE1" w14:textId="77777777" w:rsidR="0059286E" w:rsidRPr="00B76A81" w:rsidRDefault="0059286E" w:rsidP="008A3AE0">
            <w:pPr>
              <w:pStyle w:val="DHHSbody"/>
            </w:pPr>
          </w:p>
        </w:tc>
      </w:tr>
      <w:tr w:rsidR="0059286E" w:rsidRPr="00B76A81" w14:paraId="536907BF" w14:textId="77777777" w:rsidTr="00BB4672">
        <w:tc>
          <w:tcPr>
            <w:tcW w:w="831" w:type="dxa"/>
          </w:tcPr>
          <w:p w14:paraId="0E28F245" w14:textId="77777777" w:rsidR="0059286E" w:rsidRPr="00B76A81" w:rsidRDefault="0059286E" w:rsidP="008A3AE0">
            <w:pPr>
              <w:pStyle w:val="DHHSbody"/>
            </w:pPr>
          </w:p>
        </w:tc>
        <w:tc>
          <w:tcPr>
            <w:tcW w:w="1659" w:type="dxa"/>
          </w:tcPr>
          <w:p w14:paraId="53E2EBC6" w14:textId="77777777" w:rsidR="0059286E" w:rsidRPr="00B76A81" w:rsidRDefault="0059286E" w:rsidP="008A3AE0">
            <w:pPr>
              <w:pStyle w:val="DHHSbody"/>
            </w:pPr>
          </w:p>
        </w:tc>
        <w:tc>
          <w:tcPr>
            <w:tcW w:w="1398" w:type="dxa"/>
          </w:tcPr>
          <w:p w14:paraId="437BF94D" w14:textId="77777777" w:rsidR="0059286E" w:rsidRPr="00B76A81" w:rsidRDefault="0059286E" w:rsidP="008A3AE0">
            <w:pPr>
              <w:pStyle w:val="DHHSbody"/>
            </w:pPr>
          </w:p>
        </w:tc>
        <w:tc>
          <w:tcPr>
            <w:tcW w:w="1740" w:type="dxa"/>
          </w:tcPr>
          <w:p w14:paraId="0617C7CF" w14:textId="77777777" w:rsidR="0059286E" w:rsidRPr="00B76A81" w:rsidRDefault="0059286E" w:rsidP="008A3AE0">
            <w:pPr>
              <w:pStyle w:val="DHHSbody"/>
            </w:pPr>
          </w:p>
        </w:tc>
        <w:tc>
          <w:tcPr>
            <w:tcW w:w="1176" w:type="dxa"/>
          </w:tcPr>
          <w:p w14:paraId="5958F297" w14:textId="77777777" w:rsidR="0059286E" w:rsidRPr="00B76A81" w:rsidRDefault="0059286E" w:rsidP="008A3AE0">
            <w:pPr>
              <w:pStyle w:val="DHHSbody"/>
            </w:pPr>
          </w:p>
        </w:tc>
        <w:tc>
          <w:tcPr>
            <w:tcW w:w="1276" w:type="dxa"/>
          </w:tcPr>
          <w:p w14:paraId="445F7301" w14:textId="77777777" w:rsidR="0059286E" w:rsidRPr="00B76A81" w:rsidRDefault="0059286E" w:rsidP="008A3AE0">
            <w:pPr>
              <w:pStyle w:val="DHHSbody"/>
            </w:pPr>
          </w:p>
        </w:tc>
        <w:tc>
          <w:tcPr>
            <w:tcW w:w="1276" w:type="dxa"/>
          </w:tcPr>
          <w:p w14:paraId="1CCBD9A3" w14:textId="77777777" w:rsidR="0059286E" w:rsidRPr="00B76A81" w:rsidRDefault="0059286E" w:rsidP="008A3AE0">
            <w:pPr>
              <w:pStyle w:val="DHHSbody"/>
            </w:pPr>
          </w:p>
        </w:tc>
      </w:tr>
    </w:tbl>
    <w:p w14:paraId="2EC95C29" w14:textId="77777777" w:rsidR="0059286E" w:rsidRPr="00B76A81" w:rsidRDefault="0059286E" w:rsidP="0059286E">
      <w:pPr>
        <w:pStyle w:val="DHHSbody"/>
      </w:pPr>
    </w:p>
    <w:p w14:paraId="5933D054" w14:textId="77777777" w:rsidR="002E3906" w:rsidRPr="00B76A81" w:rsidRDefault="002E3906">
      <w:pPr>
        <w:rPr>
          <w:rFonts w:ascii="Arial" w:hAnsi="Arial"/>
          <w:bCs/>
          <w:color w:val="004EA8"/>
          <w:sz w:val="44"/>
          <w:szCs w:val="44"/>
        </w:rPr>
      </w:pPr>
      <w:bookmarkStart w:id="82" w:name="_Toc45285673"/>
      <w:r w:rsidRPr="00B76A81">
        <w:br w:type="page"/>
      </w:r>
    </w:p>
    <w:p w14:paraId="7DE16D21" w14:textId="71563CA9" w:rsidR="0059286E" w:rsidRPr="00B76A81" w:rsidRDefault="0059286E" w:rsidP="0059286E">
      <w:pPr>
        <w:pStyle w:val="Heading1"/>
      </w:pPr>
      <w:bookmarkStart w:id="83" w:name="_Toc51943071"/>
      <w:r w:rsidRPr="00B76A81">
        <w:lastRenderedPageBreak/>
        <w:t xml:space="preserve">Appendix 2: </w:t>
      </w:r>
      <w:r w:rsidR="00DB7586" w:rsidRPr="00B76A81">
        <w:t>V</w:t>
      </w:r>
      <w:r w:rsidRPr="00B76A81">
        <w:t>oucher accountability guide</w:t>
      </w:r>
      <w:bookmarkEnd w:id="82"/>
      <w:bookmarkEnd w:id="83"/>
    </w:p>
    <w:p w14:paraId="4C247BD4" w14:textId="4BF56B8D" w:rsidR="0059286E" w:rsidRPr="00CA439D" w:rsidRDefault="0059286E" w:rsidP="00CA439D">
      <w:pPr>
        <w:pStyle w:val="DHHSbody"/>
      </w:pPr>
      <w:r w:rsidRPr="00B76A81">
        <w:t>A</w:t>
      </w:r>
      <w:r w:rsidR="00E13209">
        <w:t>rea mental health service</w:t>
      </w:r>
      <w:r w:rsidRPr="00B76A81">
        <w:t xml:space="preserve"> </w:t>
      </w:r>
      <w:r w:rsidRPr="00CA439D">
        <w:t xml:space="preserve">CSF </w:t>
      </w:r>
      <w:r w:rsidR="00CA439D">
        <w:t>c</w:t>
      </w:r>
      <w:r w:rsidRPr="00CA439D">
        <w:t>oordinators</w:t>
      </w:r>
      <w:r w:rsidR="00E13209">
        <w:t xml:space="preserve"> will receive their vouchers via Australia Post</w:t>
      </w:r>
      <w:r w:rsidR="00CA439D">
        <w:t>. The</w:t>
      </w:r>
      <w:r w:rsidR="00E13209">
        <w:t xml:space="preserve"> vouchers</w:t>
      </w:r>
      <w:r w:rsidR="00CA439D">
        <w:t xml:space="preserve"> are</w:t>
      </w:r>
      <w:r w:rsidRPr="00CA439D">
        <w:t xml:space="preserve"> bundled by type, with a copy of the CSF </w:t>
      </w:r>
      <w:r w:rsidR="00CA439D">
        <w:t>v</w:t>
      </w:r>
      <w:r w:rsidRPr="00CA439D">
        <w:t>oucher application and a packing slip detailing the individual vouchers by type and serial number.</w:t>
      </w:r>
    </w:p>
    <w:p w14:paraId="197AF781" w14:textId="6776F525" w:rsidR="0059286E" w:rsidRPr="00CA439D" w:rsidRDefault="0059286E" w:rsidP="00CA439D">
      <w:pPr>
        <w:pStyle w:val="DHHSbody"/>
      </w:pPr>
      <w:r w:rsidRPr="00CA439D">
        <w:t xml:space="preserve">The applicant will also </w:t>
      </w:r>
      <w:r w:rsidR="00E13209">
        <w:t>receive</w:t>
      </w:r>
      <w:r w:rsidRPr="00CA439D">
        <w:t xml:space="preserve"> an email advising of the dispatch, including the tracking number and CSF application number</w:t>
      </w:r>
      <w:r w:rsidR="00CA439D">
        <w:t>(</w:t>
      </w:r>
      <w:r w:rsidRPr="00CA439D">
        <w:t>s</w:t>
      </w:r>
      <w:r w:rsidR="00CA439D">
        <w:t>)</w:t>
      </w:r>
      <w:r w:rsidRPr="00CA439D">
        <w:t>. A soft copy of the packing slip will be attached to th</w:t>
      </w:r>
      <w:r w:rsidR="00CA439D">
        <w:t>e</w:t>
      </w:r>
      <w:r w:rsidRPr="00CA439D">
        <w:t xml:space="preserve"> email.</w:t>
      </w:r>
    </w:p>
    <w:p w14:paraId="4C96D276" w14:textId="083C309D" w:rsidR="0059286E" w:rsidRPr="00B76A81" w:rsidRDefault="0059286E" w:rsidP="00CA439D">
      <w:pPr>
        <w:pStyle w:val="DHHSbody"/>
      </w:pPr>
      <w:r w:rsidRPr="00CA439D">
        <w:t>On recei</w:t>
      </w:r>
      <w:r w:rsidR="00CA439D">
        <w:t>ving</w:t>
      </w:r>
      <w:r w:rsidRPr="00CA439D">
        <w:t xml:space="preserve"> the </w:t>
      </w:r>
      <w:proofErr w:type="gramStart"/>
      <w:r w:rsidRPr="00CA439D">
        <w:t>parcel</w:t>
      </w:r>
      <w:proofErr w:type="gramEnd"/>
      <w:r w:rsidRPr="00CA439D">
        <w:t xml:space="preserve"> the</w:t>
      </w:r>
      <w:r w:rsidRPr="00B76A81">
        <w:t xml:space="preserve"> AMHS </w:t>
      </w:r>
      <w:r w:rsidR="00CA439D">
        <w:t>must</w:t>
      </w:r>
      <w:r w:rsidRPr="00B76A81">
        <w:t>:</w:t>
      </w:r>
    </w:p>
    <w:p w14:paraId="5114E849" w14:textId="0821AC17" w:rsidR="0059286E" w:rsidRPr="00B76A81" w:rsidRDefault="00CA439D" w:rsidP="0059286E">
      <w:pPr>
        <w:pStyle w:val="DHHSbullet1"/>
      </w:pPr>
      <w:r>
        <w:t>o</w:t>
      </w:r>
      <w:r w:rsidR="0059286E" w:rsidRPr="00B76A81">
        <w:t>pen and review the contents as soon as possible</w:t>
      </w:r>
    </w:p>
    <w:p w14:paraId="2A20162E" w14:textId="0ED3928D" w:rsidR="0059286E" w:rsidRPr="00B76A81" w:rsidRDefault="00CA439D" w:rsidP="0059286E">
      <w:pPr>
        <w:pStyle w:val="DHHSbullet1"/>
      </w:pPr>
      <w:r>
        <w:t>c</w:t>
      </w:r>
      <w:r w:rsidR="0059286E" w:rsidRPr="00B76A81">
        <w:t xml:space="preserve">heck the individual vouchers, ticking each one off in the </w:t>
      </w:r>
      <w:r w:rsidR="00752B47">
        <w:t>‘</w:t>
      </w:r>
      <w:r w:rsidR="0059286E" w:rsidRPr="00B76A81">
        <w:t>Received</w:t>
      </w:r>
      <w:r w:rsidR="00752B47">
        <w:t>’</w:t>
      </w:r>
      <w:r w:rsidR="0059286E" w:rsidRPr="00B76A81">
        <w:t xml:space="preserve"> column of the packing slip</w:t>
      </w:r>
    </w:p>
    <w:p w14:paraId="2BFFBE80" w14:textId="3F477C6B" w:rsidR="0059286E" w:rsidRPr="00B76A81" w:rsidRDefault="00CA439D" w:rsidP="0059286E">
      <w:pPr>
        <w:pStyle w:val="DHHSbullet1"/>
      </w:pPr>
      <w:r>
        <w:t>n</w:t>
      </w:r>
      <w:r w:rsidR="0059286E" w:rsidRPr="00B76A81">
        <w:t xml:space="preserve">otify the Tandem CSF </w:t>
      </w:r>
      <w:r w:rsidR="00752B47">
        <w:t>a</w:t>
      </w:r>
      <w:r w:rsidR="0059286E" w:rsidRPr="00B76A81">
        <w:t>dministrators via email that the package has been received and all is correct</w:t>
      </w:r>
    </w:p>
    <w:p w14:paraId="0D3BFB89" w14:textId="77777777" w:rsidR="0059286E" w:rsidRPr="00B76A81" w:rsidRDefault="0059286E" w:rsidP="00755D7B">
      <w:pPr>
        <w:pStyle w:val="DHHSbullet2"/>
      </w:pPr>
      <w:r w:rsidRPr="00B76A81">
        <w:t>Tandem will then activate the vouchers and confirm once activation is complete</w:t>
      </w:r>
    </w:p>
    <w:p w14:paraId="512D71BD" w14:textId="347CE366" w:rsidR="0059286E" w:rsidRPr="00B76A81" w:rsidRDefault="0059286E" w:rsidP="00755D7B">
      <w:pPr>
        <w:pStyle w:val="DHHSbullet2"/>
      </w:pPr>
      <w:r w:rsidRPr="00B76A81">
        <w:t xml:space="preserve">AMHS staff </w:t>
      </w:r>
      <w:r w:rsidR="00752B47">
        <w:t>will</w:t>
      </w:r>
      <w:r w:rsidRPr="00B76A81">
        <w:t xml:space="preserve"> distribute the vouchers to carers only after receiving confirmation from Tandem that the vouchers have been activated</w:t>
      </w:r>
    </w:p>
    <w:p w14:paraId="577137A0" w14:textId="362C8151" w:rsidR="0059286E" w:rsidRPr="00B76A81" w:rsidRDefault="00CA439D" w:rsidP="0059286E">
      <w:pPr>
        <w:pStyle w:val="DHHSbullet1"/>
      </w:pPr>
      <w:r>
        <w:t>keep</w:t>
      </w:r>
      <w:r w:rsidRPr="00B76A81">
        <w:t xml:space="preserve"> </w:t>
      </w:r>
      <w:r w:rsidR="0059286E" w:rsidRPr="00B76A81">
        <w:t>the packing slip to be marked off as vouchers are distributed to carers</w:t>
      </w:r>
    </w:p>
    <w:p w14:paraId="36CDDB1C" w14:textId="6469E248" w:rsidR="0059286E" w:rsidRPr="00B76A81" w:rsidRDefault="00CA439D" w:rsidP="0059286E">
      <w:pPr>
        <w:pStyle w:val="DHHSbullet1"/>
      </w:pPr>
      <w:r>
        <w:t>r</w:t>
      </w:r>
      <w:r w:rsidR="0059286E" w:rsidRPr="00B76A81">
        <w:t>eturn the completed packing slip to Tandem at the end of each quarter via email</w:t>
      </w:r>
      <w:r>
        <w:t>.</w:t>
      </w:r>
    </w:p>
    <w:p w14:paraId="31352792" w14:textId="73A4EB08" w:rsidR="00685FB8" w:rsidRPr="00B76A81" w:rsidRDefault="00685FB8">
      <w:pPr>
        <w:rPr>
          <w:rFonts w:ascii="Arial" w:eastAsia="Times" w:hAnsi="Arial"/>
        </w:rPr>
      </w:pPr>
      <w:r w:rsidRPr="00B76A81">
        <w:br w:type="page"/>
      </w:r>
    </w:p>
    <w:p w14:paraId="18D97A82" w14:textId="165960DB" w:rsidR="00685FB8" w:rsidRPr="00B76A81" w:rsidRDefault="00685FB8" w:rsidP="00685FB8">
      <w:pPr>
        <w:pStyle w:val="Heading1"/>
      </w:pPr>
      <w:bookmarkStart w:id="84" w:name="_Toc51943072"/>
      <w:r w:rsidRPr="00B76A81">
        <w:lastRenderedPageBreak/>
        <w:t>Appendix 3: Transcript of Figure 3</w:t>
      </w:r>
      <w:bookmarkEnd w:id="84"/>
    </w:p>
    <w:p w14:paraId="7DE57657" w14:textId="66F9DE11" w:rsidR="00685FB8" w:rsidRPr="00B76A81" w:rsidRDefault="00685FB8" w:rsidP="00685FB8">
      <w:pPr>
        <w:pStyle w:val="Heading2"/>
      </w:pPr>
      <w:bookmarkStart w:id="85" w:name="_Toc51943073"/>
      <w:r w:rsidRPr="00B76A81">
        <w:t>Required governance arrangements for AMHS (local CSF administrator)</w:t>
      </w:r>
      <w:bookmarkEnd w:id="85"/>
    </w:p>
    <w:p w14:paraId="32D4D52B" w14:textId="133D2495" w:rsidR="00685FB8" w:rsidRPr="00B76A81" w:rsidRDefault="00685FB8" w:rsidP="00685FB8">
      <w:pPr>
        <w:pStyle w:val="DHHSbody"/>
      </w:pPr>
      <w:r w:rsidRPr="00B76A81">
        <w:rPr>
          <w:b/>
          <w:bCs/>
        </w:rPr>
        <w:t>Tandem</w:t>
      </w:r>
      <w:r w:rsidRPr="00B76A81">
        <w:t xml:space="preserve"> (central CSF administrator)</w:t>
      </w:r>
    </w:p>
    <w:p w14:paraId="2A0299BB" w14:textId="010D3D1B" w:rsidR="00685FB8" w:rsidRPr="00B76A81" w:rsidRDefault="00685FB8" w:rsidP="00685FB8">
      <w:pPr>
        <w:pStyle w:val="DHHSbullet1"/>
      </w:pPr>
      <w:r w:rsidRPr="00B76A81">
        <w:t xml:space="preserve">reviews and processes applications forwarded by </w:t>
      </w:r>
      <w:r w:rsidR="00F81623" w:rsidRPr="00B76A81">
        <w:t>AMHS</w:t>
      </w:r>
    </w:p>
    <w:p w14:paraId="40D05CDF" w14:textId="6B63A4A5" w:rsidR="00685FB8" w:rsidRPr="00B76A81" w:rsidRDefault="00685FB8" w:rsidP="00685FB8">
      <w:pPr>
        <w:pStyle w:val="DHHSbullet1"/>
      </w:pPr>
      <w:r w:rsidRPr="00B76A81">
        <w:t>supports AMHS enquiries</w:t>
      </w:r>
    </w:p>
    <w:p w14:paraId="33B27737" w14:textId="08768FE3" w:rsidR="00685FB8" w:rsidRPr="00B76A81" w:rsidRDefault="00685FB8" w:rsidP="00685FB8">
      <w:pPr>
        <w:pStyle w:val="DHHSbullet1"/>
      </w:pPr>
      <w:r w:rsidRPr="00B76A81">
        <w:t xml:space="preserve">refers </w:t>
      </w:r>
      <w:r w:rsidR="00F81623" w:rsidRPr="00B76A81">
        <w:t>AMHS</w:t>
      </w:r>
      <w:r w:rsidRPr="00B76A81">
        <w:t xml:space="preserve"> appeals to the Independent CSF Advisory Group</w:t>
      </w:r>
    </w:p>
    <w:p w14:paraId="609442C8" w14:textId="4813B030" w:rsidR="00685FB8" w:rsidRPr="00B76A81" w:rsidRDefault="00F81623" w:rsidP="00685FB8">
      <w:pPr>
        <w:pStyle w:val="DHHSbodyafterbullets"/>
        <w:rPr>
          <w:b/>
          <w:bCs/>
        </w:rPr>
      </w:pPr>
      <w:r w:rsidRPr="00B76A81">
        <w:rPr>
          <w:b/>
          <w:bCs/>
        </w:rPr>
        <w:t>AMHS</w:t>
      </w:r>
      <w:r w:rsidR="00685FB8" w:rsidRPr="00B76A81">
        <w:rPr>
          <w:b/>
          <w:bCs/>
        </w:rPr>
        <w:t xml:space="preserve"> CSF coordinator</w:t>
      </w:r>
    </w:p>
    <w:p w14:paraId="32D2EFA3" w14:textId="517A7B50" w:rsidR="00685FB8" w:rsidRPr="00B76A81" w:rsidRDefault="00685FB8" w:rsidP="00685FB8">
      <w:pPr>
        <w:pStyle w:val="DHHSbullet1"/>
      </w:pPr>
      <w:r w:rsidRPr="00B76A81">
        <w:t xml:space="preserve">automatically reviews declined applications </w:t>
      </w:r>
    </w:p>
    <w:p w14:paraId="61401927" w14:textId="5C245BEE" w:rsidR="00685FB8" w:rsidRPr="00B76A81" w:rsidRDefault="00685FB8" w:rsidP="00685FB8">
      <w:pPr>
        <w:pStyle w:val="DHHSbullet1"/>
      </w:pPr>
      <w:r w:rsidRPr="00B76A81">
        <w:t xml:space="preserve">advises </w:t>
      </w:r>
      <w:r w:rsidR="00F81623" w:rsidRPr="00B76A81">
        <w:t>AMHS</w:t>
      </w:r>
      <w:r w:rsidRPr="00B76A81">
        <w:t xml:space="preserve"> staff and carer applicant of declined applications</w:t>
      </w:r>
    </w:p>
    <w:p w14:paraId="7311DE4F" w14:textId="5FFE826E" w:rsidR="00685FB8" w:rsidRPr="00B76A81" w:rsidRDefault="00685FB8" w:rsidP="00685FB8">
      <w:pPr>
        <w:pStyle w:val="DHHSbullet1"/>
      </w:pPr>
      <w:r w:rsidRPr="00B76A81">
        <w:t>monitors all CSF activity (applications and vouchers)</w:t>
      </w:r>
    </w:p>
    <w:p w14:paraId="0F8A612E" w14:textId="4C9CC6FB" w:rsidR="00685FB8" w:rsidRPr="00B76A81" w:rsidRDefault="00685FB8" w:rsidP="00685FB8">
      <w:pPr>
        <w:pStyle w:val="DHHSbullet1"/>
      </w:pPr>
      <w:r w:rsidRPr="00B76A81">
        <w:t>primary contact for Tandem</w:t>
      </w:r>
    </w:p>
    <w:p w14:paraId="195DFD93" w14:textId="4375495F" w:rsidR="00685FB8" w:rsidRPr="00B76A81" w:rsidRDefault="00685FB8" w:rsidP="00685FB8">
      <w:pPr>
        <w:pStyle w:val="DHHSbullet1"/>
      </w:pPr>
      <w:r w:rsidRPr="00B76A81">
        <w:t xml:space="preserve">quarterly financial updates to </w:t>
      </w:r>
      <w:r w:rsidR="00F81623" w:rsidRPr="00B76A81">
        <w:t>AMHS</w:t>
      </w:r>
      <w:r w:rsidRPr="00B76A81">
        <w:t xml:space="preserve"> executive</w:t>
      </w:r>
    </w:p>
    <w:p w14:paraId="45D5A2FB" w14:textId="50DCB5B3" w:rsidR="00685FB8" w:rsidRPr="00B76A81" w:rsidRDefault="00685FB8" w:rsidP="00685FB8">
      <w:pPr>
        <w:pStyle w:val="DHHSbodyafterbullets"/>
      </w:pPr>
      <w:r w:rsidRPr="00B76A81">
        <w:rPr>
          <w:b/>
          <w:bCs/>
        </w:rPr>
        <w:t>AMHS CSF committee member</w:t>
      </w:r>
      <w:r w:rsidRPr="00B76A81">
        <w:t xml:space="preserve"> (CSF approver)</w:t>
      </w:r>
    </w:p>
    <w:p w14:paraId="2FDA41F7" w14:textId="66E72214" w:rsidR="00685FB8" w:rsidRPr="00B76A81" w:rsidRDefault="00685FB8" w:rsidP="00685FB8">
      <w:pPr>
        <w:pStyle w:val="DHHSbullet1"/>
      </w:pPr>
      <w:r w:rsidRPr="00B76A81">
        <w:t>reviews CSF application and approves/declines</w:t>
      </w:r>
    </w:p>
    <w:p w14:paraId="63215ED8" w14:textId="7BC3B94C" w:rsidR="00685FB8" w:rsidRPr="00B76A81" w:rsidRDefault="00685FB8" w:rsidP="00685FB8">
      <w:pPr>
        <w:pStyle w:val="DHHSbullet1"/>
      </w:pPr>
      <w:r w:rsidRPr="00B76A81">
        <w:t xml:space="preserve">approved applications forwarded to Tandem and copied to </w:t>
      </w:r>
      <w:r w:rsidR="00F81623" w:rsidRPr="00B76A81">
        <w:t>AMHS</w:t>
      </w:r>
      <w:r w:rsidRPr="00B76A81">
        <w:t xml:space="preserve"> CSF coordinator</w:t>
      </w:r>
    </w:p>
    <w:p w14:paraId="4DC487F6" w14:textId="1246D386" w:rsidR="00685FB8" w:rsidRPr="00B76A81" w:rsidRDefault="00685FB8" w:rsidP="00685FB8">
      <w:pPr>
        <w:pStyle w:val="DHHSbullet1"/>
      </w:pPr>
      <w:r w:rsidRPr="00B76A81">
        <w:t>declined applications forwarded to AMHS CSF coordinator for review</w:t>
      </w:r>
    </w:p>
    <w:p w14:paraId="07A0C56F" w14:textId="4614E8A3" w:rsidR="00685FB8" w:rsidRPr="00B76A81" w:rsidRDefault="00F81623" w:rsidP="00685FB8">
      <w:pPr>
        <w:pStyle w:val="DHHSbodyafterbullets"/>
      </w:pPr>
      <w:r w:rsidRPr="00B76A81">
        <w:rPr>
          <w:b/>
          <w:bCs/>
        </w:rPr>
        <w:t>AMHS</w:t>
      </w:r>
      <w:r w:rsidR="00685FB8" w:rsidRPr="00B76A81">
        <w:rPr>
          <w:b/>
          <w:bCs/>
        </w:rPr>
        <w:t xml:space="preserve"> staff</w:t>
      </w:r>
      <w:r w:rsidR="00685FB8" w:rsidRPr="00B76A81">
        <w:t xml:space="preserve"> (registered to prepare CSF applications)</w:t>
      </w:r>
    </w:p>
    <w:p w14:paraId="3DC2D75D" w14:textId="4FA4AC4D" w:rsidR="00685FB8" w:rsidRPr="00B76A81" w:rsidRDefault="00685FB8" w:rsidP="00685FB8">
      <w:pPr>
        <w:pStyle w:val="DHHSbullet1"/>
      </w:pPr>
      <w:r w:rsidRPr="00B76A81">
        <w:t>prepares CSF application on behalf of and in consultation with carer applicant</w:t>
      </w:r>
    </w:p>
    <w:p w14:paraId="76CCF2C8" w14:textId="0BC7D56E" w:rsidR="00685FB8" w:rsidRPr="00B76A81" w:rsidRDefault="00685FB8" w:rsidP="00685FB8">
      <w:pPr>
        <w:pStyle w:val="DHHSbullet1"/>
      </w:pPr>
      <w:r w:rsidRPr="00B76A81">
        <w:t xml:space="preserve">allocates application to </w:t>
      </w:r>
      <w:r w:rsidR="00F81623" w:rsidRPr="00B76A81">
        <w:t>AMHS</w:t>
      </w:r>
      <w:r w:rsidRPr="00B76A81">
        <w:t xml:space="preserve"> CSF committee member (CSF approver) for review</w:t>
      </w:r>
    </w:p>
    <w:p w14:paraId="7EDA5BE8" w14:textId="5401D916" w:rsidR="00685FB8" w:rsidRPr="00B76A81" w:rsidRDefault="00685FB8" w:rsidP="00685FB8">
      <w:pPr>
        <w:pStyle w:val="DHHSbodyafterbullets"/>
      </w:pPr>
      <w:r w:rsidRPr="00B76A81">
        <w:t xml:space="preserve">The </w:t>
      </w:r>
      <w:r w:rsidR="00F81623" w:rsidRPr="00B76A81">
        <w:t>AMHS</w:t>
      </w:r>
      <w:r w:rsidRPr="00B76A81">
        <w:t xml:space="preserve"> executive interacts with the </w:t>
      </w:r>
      <w:r w:rsidR="00F81623" w:rsidRPr="00B76A81">
        <w:t>AMHS</w:t>
      </w:r>
      <w:r w:rsidRPr="00B76A81">
        <w:t xml:space="preserve"> coordinator.</w:t>
      </w:r>
    </w:p>
    <w:p w14:paraId="0A3734FC" w14:textId="3C485383" w:rsidR="00685FB8" w:rsidRPr="00B76A81" w:rsidRDefault="00685FB8" w:rsidP="00685FB8">
      <w:pPr>
        <w:pStyle w:val="DHHSbullet1"/>
        <w:numPr>
          <w:ilvl w:val="0"/>
          <w:numId w:val="0"/>
        </w:numPr>
      </w:pPr>
      <w:r w:rsidRPr="00B76A81">
        <w:t xml:space="preserve">The </w:t>
      </w:r>
      <w:r w:rsidR="00F81623" w:rsidRPr="00B76A81">
        <w:t>AMHS</w:t>
      </w:r>
      <w:r w:rsidRPr="00B76A81">
        <w:t xml:space="preserve"> coordinator informs </w:t>
      </w:r>
      <w:r w:rsidR="00F81623" w:rsidRPr="00B76A81">
        <w:t>AMHS</w:t>
      </w:r>
      <w:r w:rsidRPr="00B76A81">
        <w:t xml:space="preserve"> staff and the carer.</w:t>
      </w:r>
    </w:p>
    <w:sectPr w:rsidR="00685FB8" w:rsidRPr="00B76A81" w:rsidSect="004C48DD">
      <w:headerReference w:type="even" r:id="rId38"/>
      <w:headerReference w:type="default" r:id="rId39"/>
      <w:footerReference w:type="even" r:id="rId40"/>
      <w:footerReference w:type="default" r:id="rId41"/>
      <w:footerReference w:type="first" r:id="rId42"/>
      <w:pgSz w:w="11906" w:h="16838" w:code="9"/>
      <w:pgMar w:top="1418" w:right="1304" w:bottom="1418" w:left="1304" w:header="851" w:footer="851"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A4C3" w16cex:dateUtc="2020-07-12T23:15:00Z"/>
  <w16cex:commentExtensible w16cex:durableId="22B6A4E6" w16cex:dateUtc="2020-07-12T23:16:00Z"/>
  <w16cex:commentExtensible w16cex:durableId="22B6C0D9" w16cex:dateUtc="2020-07-13T01:15:00Z"/>
  <w16cex:commentExtensible w16cex:durableId="22B6C66F" w16cex:dateUtc="2020-07-13T01:39:00Z"/>
  <w16cex:commentExtensible w16cex:durableId="22B6C88F" w16cex:dateUtc="2020-07-13T01:48:00Z"/>
  <w16cex:commentExtensible w16cex:durableId="22B6EE26" w16cex:dateUtc="2020-07-13T04:28:00Z"/>
  <w16cex:commentExtensible w16cex:durableId="22B6FD6A" w16cex:dateUtc="2020-07-13T05: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F973B" w14:textId="77777777" w:rsidR="007D59BB" w:rsidRDefault="007D59BB">
      <w:r>
        <w:separator/>
      </w:r>
    </w:p>
  </w:endnote>
  <w:endnote w:type="continuationSeparator" w:id="0">
    <w:p w14:paraId="16FD461E" w14:textId="77777777" w:rsidR="007D59BB" w:rsidRDefault="007D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Ebrima"/>
    <w:charset w:val="00"/>
    <w:family w:val="auto"/>
    <w:pitch w:val="variable"/>
    <w:sig w:usb0="E1001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6A8BC" w14:textId="4955D5E8" w:rsidR="007D59BB" w:rsidRDefault="007D59BB">
    <w:pPr>
      <w:pStyle w:val="Footer"/>
    </w:pPr>
    <w:r>
      <w:rPr>
        <w:noProof/>
      </w:rPr>
      <mc:AlternateContent>
        <mc:Choice Requires="wps">
          <w:drawing>
            <wp:anchor distT="0" distB="0" distL="114300" distR="114300" simplePos="0" relativeHeight="251662591" behindDoc="0" locked="0" layoutInCell="0" allowOverlap="1" wp14:anchorId="7CFC1260" wp14:editId="6B6B2D65">
              <wp:simplePos x="0" y="0"/>
              <wp:positionH relativeFrom="page">
                <wp:align>center</wp:align>
              </wp:positionH>
              <wp:positionV relativeFrom="page">
                <wp:align>bottom</wp:align>
              </wp:positionV>
              <wp:extent cx="7772400" cy="457200"/>
              <wp:effectExtent l="0" t="0" r="0" b="0"/>
              <wp:wrapNone/>
              <wp:docPr id="6" name="MSIPCM34474669a4da848029c59ecb" descr="{&quot;HashCode&quot;:904758361,&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95D343" w14:textId="0C84F175" w:rsidR="007D59BB" w:rsidRPr="00B367AC" w:rsidRDefault="007D59BB" w:rsidP="00B367AC">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CFC1260" id="_x0000_t202" coordsize="21600,21600" o:spt="202" path="m,l,21600r21600,l21600,xe">
              <v:stroke joinstyle="miter"/>
              <v:path gradientshapeok="t" o:connecttype="rect"/>
            </v:shapetype>
            <v:shape id="MSIPCM34474669a4da848029c59ecb" o:spid="_x0000_s1026" type="#_x0000_t202" alt="{&quot;HashCode&quot;:904758361,&quot;Height&quot;:9999999.0,&quot;Width&quot;:9999999.0,&quot;Placement&quot;:&quot;Footer&quot;,&quot;Index&quot;:&quot;OddAndEven&quot;,&quot;Section&quot;:1,&quot;Top&quot;:0.0,&quot;Left&quot;:0.0}" style="position:absolute;margin-left:0;margin-top:0;width:612pt;height:36pt;z-index:25166259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" o:allowincell="f" filled="f" stroked="f" strokeweight=".5pt">
              <v:textbox inset=",0,,0">
                <w:txbxContent>
                  <w:p w14:paraId="3095D343" w14:textId="0C84F175" w:rsidR="007D59BB" w:rsidRPr="00B367AC" w:rsidRDefault="007D59BB" w:rsidP="00B367AC">
                    <w:pPr>
                      <w:jc w:val="center"/>
                      <w:rPr>
                        <w:rFonts w:ascii="Arial Black" w:hAnsi="Arial Black"/>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AF6BC" w14:textId="0D17165F" w:rsidR="007D59BB" w:rsidRDefault="007D59BB">
    <w:pPr>
      <w:pStyle w:val="Footer"/>
    </w:pPr>
    <w:r>
      <w:rPr>
        <w:noProof/>
      </w:rPr>
      <mc:AlternateContent>
        <mc:Choice Requires="wps">
          <w:drawing>
            <wp:anchor distT="0" distB="0" distL="114300" distR="114300" simplePos="0" relativeHeight="251661823" behindDoc="0" locked="0" layoutInCell="0" allowOverlap="1" wp14:anchorId="49C1F4A8" wp14:editId="76C26FB8">
              <wp:simplePos x="0" y="0"/>
              <wp:positionH relativeFrom="page">
                <wp:align>center</wp:align>
              </wp:positionH>
              <wp:positionV relativeFrom="page">
                <wp:align>bottom</wp:align>
              </wp:positionV>
              <wp:extent cx="7772400" cy="457200"/>
              <wp:effectExtent l="0" t="0" r="0" b="0"/>
              <wp:wrapNone/>
              <wp:docPr id="1" name="MSIPCM6c5b49f8af42e48f24e83c81"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734517" w14:textId="1BD9C5C6" w:rsidR="007D59BB" w:rsidRPr="00B367AC" w:rsidRDefault="007D59BB" w:rsidP="00B367AC">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9C1F4A8" id="_x0000_t202" coordsize="21600,21600" o:spt="202" path="m,l,21600r21600,l21600,xe">
              <v:stroke joinstyle="miter"/>
              <v:path gradientshapeok="t" o:connecttype="rect"/>
            </v:shapetype>
            <v:shape id="MSIPCM6c5b49f8af42e48f24e83c81" o:spid="_x0000_s1027" type="#_x0000_t202" alt="{&quot;HashCode&quot;:904758361,&quot;Height&quot;:9999999.0,&quot;Width&quot;:9999999.0,&quot;Placement&quot;:&quot;Footer&quot;,&quot;Index&quot;:&quot;Primary&quot;,&quot;Section&quot;:1,&quot;Top&quot;:0.0,&quot;Left&quot;:0.0}" style="position:absolute;margin-left:0;margin-top:0;width:612pt;height:36pt;z-index:25166182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" o:allowincell="f" filled="f" stroked="f" strokeweight=".5pt">
              <v:textbox inset=",0,,0">
                <w:txbxContent>
                  <w:p w14:paraId="22734517" w14:textId="1BD9C5C6" w:rsidR="007D59BB" w:rsidRPr="00B367AC" w:rsidRDefault="007D59BB" w:rsidP="00B367AC">
                    <w:pPr>
                      <w:jc w:val="center"/>
                      <w:rPr>
                        <w:rFonts w:ascii="Arial Black" w:hAnsi="Arial Black"/>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B0D4" w14:textId="77777777" w:rsidR="00662482" w:rsidRDefault="006624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C4EB0" w14:textId="1F3C1F4B" w:rsidR="007D59BB" w:rsidRPr="008114D1" w:rsidRDefault="007D59BB" w:rsidP="00E969B1">
    <w:pPr>
      <w:pStyle w:val="DHHSfooter"/>
    </w:pPr>
    <w:r w:rsidRPr="00D02405">
      <w:rPr>
        <w:b/>
        <w:bCs/>
        <w:noProof/>
      </w:rPr>
      <mc:AlternateContent>
        <mc:Choice Requires="wps">
          <w:drawing>
            <wp:anchor distT="0" distB="0" distL="114300" distR="114300" simplePos="0" relativeHeight="251668480" behindDoc="0" locked="0" layoutInCell="0" allowOverlap="1" wp14:anchorId="31B36DA4" wp14:editId="154208EF">
              <wp:simplePos x="0" y="0"/>
              <wp:positionH relativeFrom="page">
                <wp:align>center</wp:align>
              </wp:positionH>
              <wp:positionV relativeFrom="page">
                <wp:align>bottom</wp:align>
              </wp:positionV>
              <wp:extent cx="7772400" cy="457200"/>
              <wp:effectExtent l="0" t="0" r="0" b="0"/>
              <wp:wrapNone/>
              <wp:docPr id="10" name="MSIPCM519043f5b8e9f0d016050e4f" descr="{&quot;HashCode&quot;:904758361,&quot;Height&quot;:9999999.0,&quot;Width&quot;:9999999.0,&quot;Placement&quot;:&quot;Footer&quot;,&quot;Index&quot;:&quot;OddAndEven&quot;,&quot;Section&quot;:6,&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3C15EA" w14:textId="336232C5" w:rsidR="007D59BB" w:rsidRPr="00B367AC" w:rsidRDefault="007D59BB" w:rsidP="00B367AC">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1B36DA4" id="_x0000_t202" coordsize="21600,21600" o:spt="202" path="m,l,21600r21600,l21600,xe">
              <v:stroke joinstyle="miter"/>
              <v:path gradientshapeok="t" o:connecttype="rect"/>
            </v:shapetype>
            <v:shape id="MSIPCM519043f5b8e9f0d016050e4f" o:spid="_x0000_s1028" type="#_x0000_t202" alt="{&quot;HashCode&quot;:904758361,&quot;Height&quot;:9999999.0,&quot;Width&quot;:9999999.0,&quot;Placement&quot;:&quot;Footer&quot;,&quot;Index&quot;:&quot;OddAndEven&quot;,&quot;Section&quot;:6,&quot;Top&quot;:0.0,&quot;Left&quot;:0.0}" style="position:absolute;margin-left:0;margin-top:0;width:612pt;height:36pt;z-index:2516684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" o:allowincell="f" filled="f" stroked="f" strokeweight=".5pt">
              <v:textbox inset=",0,,0">
                <w:txbxContent>
                  <w:p w14:paraId="1C3C15EA" w14:textId="336232C5" w:rsidR="007D59BB" w:rsidRPr="00B367AC" w:rsidRDefault="007D59BB" w:rsidP="00B367AC">
                    <w:pPr>
                      <w:jc w:val="center"/>
                      <w:rPr>
                        <w:rFonts w:ascii="Arial Black" w:hAnsi="Arial Black"/>
                        <w:color w:val="000000"/>
                      </w:rPr>
                    </w:pPr>
                  </w:p>
                </w:txbxContent>
              </v:textbox>
              <w10:wrap anchorx="page" anchory="page"/>
            </v:shape>
          </w:pict>
        </mc:Fallback>
      </mc:AlternateContent>
    </w:r>
    <w:r w:rsidRPr="00D02405">
      <w:rPr>
        <w:b/>
        <w:bCs/>
      </w:rPr>
      <w:fldChar w:fldCharType="begin"/>
    </w:r>
    <w:r w:rsidRPr="00D02405">
      <w:rPr>
        <w:b/>
        <w:bCs/>
      </w:rPr>
      <w:instrText xml:space="preserve"> PAGE </w:instrText>
    </w:r>
    <w:r w:rsidRPr="00D02405">
      <w:rPr>
        <w:b/>
        <w:bCs/>
      </w:rPr>
      <w:fldChar w:fldCharType="separate"/>
    </w:r>
    <w:r w:rsidRPr="00D02405">
      <w:rPr>
        <w:b/>
        <w:bCs/>
        <w:noProof/>
      </w:rPr>
      <w:t>10</w:t>
    </w:r>
    <w:r w:rsidRPr="00D02405">
      <w:rPr>
        <w:b/>
        <w:bCs/>
      </w:rPr>
      <w:fldChar w:fldCharType="end"/>
    </w:r>
    <w:r>
      <w:ptab w:relativeTo="margin" w:alignment="right" w:leader="none"/>
    </w:r>
    <w:r w:rsidRPr="00D02405">
      <w:rPr>
        <w:noProof/>
        <w:color w:val="004C97"/>
      </w:rPr>
      <w:t>Mental Health Carer Support Fund guidelines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9AFF7" w14:textId="0ADA6AA4" w:rsidR="007D59BB" w:rsidRPr="00D02405" w:rsidRDefault="007D59BB" w:rsidP="00E969B1">
    <w:pPr>
      <w:pStyle w:val="DHHSfooter"/>
      <w:rPr>
        <w:b/>
        <w:bCs/>
      </w:rPr>
    </w:pPr>
    <w:r w:rsidRPr="00D02405">
      <w:rPr>
        <w:noProof/>
        <w:color w:val="004C97"/>
      </w:rPr>
      <mc:AlternateContent>
        <mc:Choice Requires="wps">
          <w:drawing>
            <wp:anchor distT="0" distB="0" distL="114300" distR="114300" simplePos="0" relativeHeight="251667456" behindDoc="0" locked="0" layoutInCell="0" allowOverlap="1" wp14:anchorId="43A009D6" wp14:editId="6D89DD1E">
              <wp:simplePos x="0" y="0"/>
              <wp:positionH relativeFrom="page">
                <wp:align>center</wp:align>
              </wp:positionH>
              <wp:positionV relativeFrom="page">
                <wp:align>bottom</wp:align>
              </wp:positionV>
              <wp:extent cx="7772400" cy="457200"/>
              <wp:effectExtent l="0" t="0" r="0" b="0"/>
              <wp:wrapNone/>
              <wp:docPr id="9" name="MSIPCMc1124f568100c36e1e8c2edc" descr="{&quot;HashCode&quot;:904758361,&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2663E3" w14:textId="247B9079" w:rsidR="007D59BB" w:rsidRPr="00B367AC" w:rsidRDefault="007D59BB" w:rsidP="00B367AC">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3A009D6" id="_x0000_t202" coordsize="21600,21600" o:spt="202" path="m,l,21600r21600,l21600,xe">
              <v:stroke joinstyle="miter"/>
              <v:path gradientshapeok="t" o:connecttype="rect"/>
            </v:shapetype>
            <v:shape id="MSIPCMc1124f568100c36e1e8c2edc" o:spid="_x0000_s1029" type="#_x0000_t202" alt="{&quot;HashCode&quot;:904758361,&quot;Height&quot;:9999999.0,&quot;Width&quot;:9999999.0,&quot;Placement&quot;:&quot;Footer&quot;,&quot;Index&quot;:&quot;Primary&quot;,&quot;Section&quot;:6,&quot;Top&quot;:0.0,&quot;Left&quot;:0.0}" style="position:absolute;margin-left:0;margin-top:0;width:612pt;height:36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" o:allowincell="f" filled="f" stroked="f" strokeweight=".5pt">
              <v:textbox inset=",0,,0">
                <w:txbxContent>
                  <w:p w14:paraId="552663E3" w14:textId="247B9079" w:rsidR="007D59BB" w:rsidRPr="00B367AC" w:rsidRDefault="007D59BB" w:rsidP="00B367AC">
                    <w:pPr>
                      <w:jc w:val="center"/>
                      <w:rPr>
                        <w:rFonts w:ascii="Arial Black" w:hAnsi="Arial Black"/>
                        <w:color w:val="000000"/>
                      </w:rPr>
                    </w:pPr>
                  </w:p>
                </w:txbxContent>
              </v:textbox>
              <w10:wrap anchorx="page" anchory="page"/>
            </v:shape>
          </w:pict>
        </mc:Fallback>
      </mc:AlternateContent>
    </w:r>
    <w:r w:rsidRPr="00D02405">
      <w:rPr>
        <w:noProof/>
        <w:color w:val="004C97"/>
      </w:rPr>
      <w:t>Mental Health Carer Support Fund guidelines</w:t>
    </w:r>
    <w:r>
      <w:ptab w:relativeTo="margin" w:alignment="right" w:leader="none"/>
    </w:r>
    <w:r w:rsidRPr="00D02405">
      <w:rPr>
        <w:b/>
        <w:bCs/>
      </w:rPr>
      <w:fldChar w:fldCharType="begin"/>
    </w:r>
    <w:r w:rsidRPr="00D02405">
      <w:rPr>
        <w:b/>
        <w:bCs/>
      </w:rPr>
      <w:instrText xml:space="preserve"> PAGE </w:instrText>
    </w:r>
    <w:r w:rsidRPr="00D02405">
      <w:rPr>
        <w:b/>
        <w:bCs/>
      </w:rPr>
      <w:fldChar w:fldCharType="separate"/>
    </w:r>
    <w:r w:rsidRPr="00D02405">
      <w:rPr>
        <w:b/>
        <w:bCs/>
        <w:noProof/>
      </w:rPr>
      <w:t>9</w:t>
    </w:r>
    <w:r w:rsidRPr="00D02405">
      <w:rPr>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98D0" w14:textId="77777777" w:rsidR="007D59BB" w:rsidRPr="001A7E04" w:rsidRDefault="007D59BB"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27738" w14:textId="77777777" w:rsidR="007D59BB" w:rsidRDefault="007D59BB">
      <w:r>
        <w:separator/>
      </w:r>
    </w:p>
  </w:footnote>
  <w:footnote w:type="continuationSeparator" w:id="0">
    <w:p w14:paraId="0A0079B2" w14:textId="77777777" w:rsidR="007D59BB" w:rsidRDefault="007D59BB">
      <w:r>
        <w:continuationSeparator/>
      </w:r>
    </w:p>
  </w:footnote>
  <w:footnote w:id="1">
    <w:p w14:paraId="39C6C70A" w14:textId="4CCA5EEF" w:rsidR="007D59BB" w:rsidRPr="009D3D45" w:rsidRDefault="007D59BB" w:rsidP="004C48DD">
      <w:pPr>
        <w:pStyle w:val="DHHSfooter"/>
        <w:rPr>
          <w:rFonts w:eastAsia="MS Gothic"/>
          <w:sz w:val="16"/>
          <w:szCs w:val="16"/>
        </w:rPr>
      </w:pPr>
      <w:r>
        <w:rPr>
          <w:rStyle w:val="FootnoteReference"/>
        </w:rPr>
        <w:footnoteRef/>
      </w:r>
      <w:r>
        <w:t xml:space="preserve"> </w:t>
      </w:r>
      <w:r>
        <w:rPr>
          <w:rFonts w:eastAsia="MS Gothic"/>
          <w:sz w:val="16"/>
          <w:szCs w:val="16"/>
        </w:rPr>
        <w:t>A c</w:t>
      </w:r>
      <w:r w:rsidRPr="009D3D45">
        <w:rPr>
          <w:rFonts w:eastAsia="MS Gothic"/>
          <w:sz w:val="16"/>
          <w:szCs w:val="16"/>
        </w:rPr>
        <w:t xml:space="preserve">arer </w:t>
      </w:r>
      <w:r>
        <w:rPr>
          <w:rFonts w:eastAsia="MS Gothic"/>
          <w:sz w:val="16"/>
          <w:szCs w:val="16"/>
        </w:rPr>
        <w:t xml:space="preserve">is </w:t>
      </w:r>
      <w:r w:rsidRPr="009D3D45">
        <w:rPr>
          <w:rFonts w:eastAsia="MS Gothic"/>
          <w:sz w:val="16"/>
          <w:szCs w:val="16"/>
        </w:rPr>
        <w:t>a family member, partner or friend whose primary relationship with a person with a mental illness is a supportive, caring relationship.</w:t>
      </w:r>
    </w:p>
  </w:footnote>
  <w:footnote w:id="2">
    <w:p w14:paraId="214852F4" w14:textId="165811A6" w:rsidR="007D59BB" w:rsidRDefault="007D59BB" w:rsidP="0059286E">
      <w:pPr>
        <w:pStyle w:val="FootnoteText"/>
      </w:pPr>
      <w:r>
        <w:rPr>
          <w:rStyle w:val="FootnoteReference"/>
        </w:rPr>
        <w:footnoteRef/>
      </w:r>
      <w:r>
        <w:t xml:space="preserve"> </w:t>
      </w:r>
      <w:r>
        <w:rPr>
          <w:spacing w:val="-1"/>
        </w:rPr>
        <w:t>Reg</w:t>
      </w:r>
      <w:r>
        <w:t>i</w:t>
      </w:r>
      <w:r>
        <w:rPr>
          <w:spacing w:val="1"/>
        </w:rPr>
        <w:t>st</w:t>
      </w:r>
      <w:r>
        <w:rPr>
          <w:spacing w:val="-1"/>
        </w:rPr>
        <w:t>ere</w:t>
      </w:r>
      <w:r>
        <w:t>d</w:t>
      </w:r>
      <w:r>
        <w:rPr>
          <w:spacing w:val="-4"/>
        </w:rPr>
        <w:t xml:space="preserve"> </w:t>
      </w:r>
      <w:r>
        <w:rPr>
          <w:spacing w:val="3"/>
        </w:rPr>
        <w:t>m</w:t>
      </w:r>
      <w:r>
        <w:rPr>
          <w:spacing w:val="-1"/>
        </w:rPr>
        <w:t>en</w:t>
      </w:r>
      <w:r>
        <w:rPr>
          <w:spacing w:val="1"/>
        </w:rPr>
        <w:t>t</w:t>
      </w:r>
      <w:r>
        <w:rPr>
          <w:spacing w:val="-1"/>
        </w:rPr>
        <w:t>a</w:t>
      </w:r>
      <w:r>
        <w:t>l</w:t>
      </w:r>
      <w:r>
        <w:rPr>
          <w:spacing w:val="-1"/>
        </w:rPr>
        <w:t xml:space="preserve"> hea</w:t>
      </w:r>
      <w:r>
        <w:t>l</w:t>
      </w:r>
      <w:r>
        <w:rPr>
          <w:spacing w:val="1"/>
        </w:rPr>
        <w:t>t</w:t>
      </w:r>
      <w:r>
        <w:t>h</w:t>
      </w:r>
      <w:r>
        <w:rPr>
          <w:spacing w:val="-2"/>
        </w:rPr>
        <w:t xml:space="preserve"> </w:t>
      </w:r>
      <w:r>
        <w:rPr>
          <w:spacing w:val="1"/>
        </w:rPr>
        <w:t>c</w:t>
      </w:r>
      <w:r>
        <w:rPr>
          <w:spacing w:val="-1"/>
        </w:rPr>
        <w:t>o</w:t>
      </w:r>
      <w:r>
        <w:rPr>
          <w:spacing w:val="-3"/>
        </w:rPr>
        <w:t>n</w:t>
      </w:r>
      <w:r>
        <w:rPr>
          <w:spacing w:val="1"/>
        </w:rPr>
        <w:t>s</w:t>
      </w:r>
      <w:r>
        <w:rPr>
          <w:spacing w:val="-3"/>
        </w:rPr>
        <w:t>u</w:t>
      </w:r>
      <w:r>
        <w:rPr>
          <w:spacing w:val="1"/>
        </w:rPr>
        <w:t>m</w:t>
      </w:r>
      <w:r>
        <w:rPr>
          <w:spacing w:val="-1"/>
        </w:rPr>
        <w:t>er</w:t>
      </w:r>
      <w:r>
        <w:t>s</w:t>
      </w:r>
      <w:r>
        <w:rPr>
          <w:spacing w:val="2"/>
        </w:rPr>
        <w:t xml:space="preserve"> </w:t>
      </w:r>
      <w:r>
        <w:rPr>
          <w:spacing w:val="-1"/>
        </w:rPr>
        <w:t>ar</w:t>
      </w:r>
      <w:r>
        <w:t>e</w:t>
      </w:r>
      <w:r>
        <w:rPr>
          <w:spacing w:val="1"/>
        </w:rPr>
        <w:t xml:space="preserve"> </w:t>
      </w:r>
      <w:r>
        <w:t>i</w:t>
      </w:r>
      <w:r>
        <w:rPr>
          <w:spacing w:val="-1"/>
        </w:rPr>
        <w:t>dent</w:t>
      </w:r>
      <w:r>
        <w:t>i</w:t>
      </w:r>
      <w:r>
        <w:rPr>
          <w:spacing w:val="1"/>
        </w:rPr>
        <w:t>f</w:t>
      </w:r>
      <w:r>
        <w:t>i</w:t>
      </w:r>
      <w:r>
        <w:rPr>
          <w:spacing w:val="-1"/>
        </w:rPr>
        <w:t>e</w:t>
      </w:r>
      <w:r>
        <w:t>d</w:t>
      </w:r>
      <w:r>
        <w:rPr>
          <w:spacing w:val="-2"/>
        </w:rPr>
        <w:t xml:space="preserve"> </w:t>
      </w:r>
      <w:r>
        <w:rPr>
          <w:spacing w:val="-1"/>
        </w:rPr>
        <w:t>b</w:t>
      </w:r>
      <w:r>
        <w:t>y a statewide</w:t>
      </w:r>
      <w:r>
        <w:rPr>
          <w:spacing w:val="1"/>
        </w:rPr>
        <w:t xml:space="preserve"> </w:t>
      </w:r>
      <w:r>
        <w:rPr>
          <w:spacing w:val="-1"/>
        </w:rPr>
        <w:t>un</w:t>
      </w:r>
      <w:r>
        <w:rPr>
          <w:spacing w:val="-2"/>
        </w:rPr>
        <w:t>i</w:t>
      </w:r>
      <w:r>
        <w:t>t</w:t>
      </w:r>
      <w:r>
        <w:rPr>
          <w:spacing w:val="2"/>
        </w:rPr>
        <w:t xml:space="preserve"> </w:t>
      </w:r>
      <w:r>
        <w:rPr>
          <w:spacing w:val="-1"/>
        </w:rPr>
        <w:t>re</w:t>
      </w:r>
      <w:r>
        <w:rPr>
          <w:spacing w:val="1"/>
        </w:rPr>
        <w:t>c</w:t>
      </w:r>
      <w:r>
        <w:rPr>
          <w:spacing w:val="-1"/>
        </w:rPr>
        <w:t>or</w:t>
      </w:r>
      <w:r>
        <w:t>d</w:t>
      </w:r>
      <w:r>
        <w:rPr>
          <w:spacing w:val="-2"/>
        </w:rPr>
        <w:t xml:space="preserve"> </w:t>
      </w:r>
      <w:r>
        <w:rPr>
          <w:spacing w:val="-1"/>
        </w:rPr>
        <w:t>(UR</w:t>
      </w:r>
      <w:r>
        <w:t xml:space="preserve">) </w:t>
      </w:r>
      <w:r>
        <w:rPr>
          <w:spacing w:val="-1"/>
        </w:rPr>
        <w:t>nu</w:t>
      </w:r>
      <w:r>
        <w:rPr>
          <w:spacing w:val="3"/>
        </w:rPr>
        <w:t>m</w:t>
      </w:r>
      <w:r>
        <w:rPr>
          <w:spacing w:val="-1"/>
        </w:rPr>
        <w:t>ber</w:t>
      </w:r>
      <w:r>
        <w:t>, generated via the Client Management Interface / Operational Data Store (not a local hospital UR number).</w:t>
      </w:r>
    </w:p>
    <w:p w14:paraId="4BA9C161" w14:textId="77777777" w:rsidR="007D59BB" w:rsidRDefault="007D59BB" w:rsidP="0059286E">
      <w:pPr>
        <w:pStyle w:val="FootnoteText"/>
      </w:pPr>
    </w:p>
  </w:footnote>
  <w:footnote w:id="3">
    <w:p w14:paraId="6EA30D37" w14:textId="77777777" w:rsidR="007D59BB" w:rsidRDefault="007D59BB" w:rsidP="0059286E">
      <w:pPr>
        <w:pStyle w:val="FootnoteText"/>
      </w:pPr>
      <w:r>
        <w:rPr>
          <w:rStyle w:val="FootnoteReference"/>
        </w:rPr>
        <w:footnoteRef/>
      </w:r>
      <w:r>
        <w:t xml:space="preserve"> AMHS staff can register to prepare online applications by contacting Tandem and providing relevant supporting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DA4A" w14:textId="77777777" w:rsidR="00662482" w:rsidRDefault="00662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7F44" w14:textId="77777777" w:rsidR="00662482" w:rsidRDefault="00662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87D9" w14:textId="77777777" w:rsidR="00662482" w:rsidRDefault="006624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EBF3" w14:textId="77777777" w:rsidR="007D59BB" w:rsidRPr="0069374A" w:rsidRDefault="007D59BB"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B6076" w14:textId="77777777" w:rsidR="007D59BB" w:rsidRDefault="007D59BB"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7285"/>
    <w:multiLevelType w:val="hybridMultilevel"/>
    <w:tmpl w:val="61849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AD2E30"/>
    <w:multiLevelType w:val="multilevel"/>
    <w:tmpl w:val="E2987502"/>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11C0842"/>
    <w:multiLevelType w:val="hybridMultilevel"/>
    <w:tmpl w:val="1BB2F420"/>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 w15:restartNumberingAfterBreak="0">
    <w:nsid w:val="1562009E"/>
    <w:multiLevelType w:val="hybridMultilevel"/>
    <w:tmpl w:val="EC8AF46C"/>
    <w:lvl w:ilvl="0" w:tplc="4EB6EC4E">
      <w:numFmt w:val="bullet"/>
      <w:lvlText w:val="–"/>
      <w:lvlJc w:val="left"/>
      <w:pPr>
        <w:ind w:left="761" w:hanging="360"/>
      </w:pPr>
      <w:rPr>
        <w:rFonts w:ascii="Times New Roman" w:eastAsia="Times New Roman" w:hAnsi="Times New Roman" w:hint="default"/>
        <w:sz w:val="24"/>
      </w:rPr>
    </w:lvl>
    <w:lvl w:ilvl="1" w:tplc="0C090003" w:tentative="1">
      <w:start w:val="1"/>
      <w:numFmt w:val="bullet"/>
      <w:lvlText w:val="o"/>
      <w:lvlJc w:val="left"/>
      <w:pPr>
        <w:ind w:left="1481" w:hanging="360"/>
      </w:pPr>
      <w:rPr>
        <w:rFonts w:ascii="Courier New" w:hAnsi="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15:restartNumberingAfterBreak="0">
    <w:nsid w:val="19F21E86"/>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1A904693"/>
    <w:multiLevelType w:val="hybridMultilevel"/>
    <w:tmpl w:val="8A8ED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2E00EB"/>
    <w:multiLevelType w:val="hybridMultilevel"/>
    <w:tmpl w:val="E9805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D51B47"/>
    <w:multiLevelType w:val="multilevel"/>
    <w:tmpl w:val="4B4E7622"/>
    <w:numStyleLink w:val="ZZNumbers"/>
  </w:abstractNum>
  <w:abstractNum w:abstractNumId="8" w15:restartNumberingAfterBreak="0">
    <w:nsid w:val="2B7D0561"/>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3F03DEA"/>
    <w:multiLevelType w:val="hybridMultilevel"/>
    <w:tmpl w:val="D744FCB4"/>
    <w:lvl w:ilvl="0" w:tplc="0C090001">
      <w:start w:val="1"/>
      <w:numFmt w:val="bullet"/>
      <w:lvlText w:val=""/>
      <w:lvlJc w:val="left"/>
      <w:pPr>
        <w:ind w:left="761" w:hanging="360"/>
      </w:pPr>
      <w:rPr>
        <w:rFonts w:ascii="Symbol" w:hAnsi="Symbol" w:hint="default"/>
        <w:sz w:val="24"/>
      </w:rPr>
    </w:lvl>
    <w:lvl w:ilvl="1" w:tplc="0C090003" w:tentative="1">
      <w:start w:val="1"/>
      <w:numFmt w:val="bullet"/>
      <w:lvlText w:val="o"/>
      <w:lvlJc w:val="left"/>
      <w:pPr>
        <w:ind w:left="1481" w:hanging="360"/>
      </w:pPr>
      <w:rPr>
        <w:rFonts w:ascii="Courier New" w:hAnsi="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0" w15:restartNumberingAfterBreak="0">
    <w:nsid w:val="37B96CDA"/>
    <w:multiLevelType w:val="multilevel"/>
    <w:tmpl w:val="CC9E703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869520E"/>
    <w:multiLevelType w:val="hybridMultilevel"/>
    <w:tmpl w:val="6B6810F6"/>
    <w:lvl w:ilvl="0" w:tplc="38E646F0">
      <w:start w:val="2"/>
      <w:numFmt w:val="bullet"/>
      <w:lvlText w:val="•"/>
      <w:lvlJc w:val="left"/>
      <w:pPr>
        <w:ind w:left="2160" w:hanging="360"/>
      </w:pPr>
      <w:rPr>
        <w:rFonts w:ascii="Times New Roman" w:eastAsia="Times New Roman" w:hAnsi="Times New Roman" w:hint="default"/>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6C68D4"/>
    <w:multiLevelType w:val="multilevel"/>
    <w:tmpl w:val="C024C04A"/>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EC54A41"/>
    <w:multiLevelType w:val="multilevel"/>
    <w:tmpl w:val="F3828B86"/>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41611C2"/>
    <w:multiLevelType w:val="multilevel"/>
    <w:tmpl w:val="9A2640A4"/>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4BA1E5A"/>
    <w:multiLevelType w:val="multilevel"/>
    <w:tmpl w:val="41782314"/>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9F84494"/>
    <w:multiLevelType w:val="hybridMultilevel"/>
    <w:tmpl w:val="AC769A74"/>
    <w:lvl w:ilvl="0" w:tplc="0C090001">
      <w:start w:val="1"/>
      <w:numFmt w:val="bullet"/>
      <w:lvlText w:val=""/>
      <w:lvlJc w:val="left"/>
      <w:pPr>
        <w:ind w:left="720" w:hanging="360"/>
      </w:pPr>
      <w:rPr>
        <w:rFonts w:ascii="Symbol" w:hAnsi="Symbol" w:hint="default"/>
      </w:rPr>
    </w:lvl>
    <w:lvl w:ilvl="1" w:tplc="79CAA5CA">
      <w:start w:val="2"/>
      <w:numFmt w:val="bullet"/>
      <w:lvlText w:val="–"/>
      <w:lvlJc w:val="left"/>
      <w:pPr>
        <w:ind w:left="1440" w:hanging="360"/>
      </w:pPr>
      <w:rPr>
        <w:rFonts w:ascii="Times New Roman" w:eastAsia="Times New Roman" w:hAnsi="Times New Roman" w:hint="default"/>
        <w:sz w:val="24"/>
      </w:rPr>
    </w:lvl>
    <w:lvl w:ilvl="2" w:tplc="38E646F0">
      <w:start w:val="2"/>
      <w:numFmt w:val="bullet"/>
      <w:lvlText w:val="•"/>
      <w:lvlJc w:val="left"/>
      <w:pPr>
        <w:ind w:left="2160" w:hanging="360"/>
      </w:pPr>
      <w:rPr>
        <w:rFonts w:ascii="Times New Roman" w:eastAsia="Times New Roman" w:hAnsi="Times New Roman" w:hint="default"/>
        <w:sz w:val="24"/>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DD2B89"/>
    <w:multiLevelType w:val="hybridMultilevel"/>
    <w:tmpl w:val="BD0865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E2F7A91"/>
    <w:multiLevelType w:val="hybridMultilevel"/>
    <w:tmpl w:val="C23AA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EB363A"/>
    <w:multiLevelType w:val="hybridMultilevel"/>
    <w:tmpl w:val="1626ED04"/>
    <w:lvl w:ilvl="0" w:tplc="0C09000B">
      <w:start w:val="1"/>
      <w:numFmt w:val="bullet"/>
      <w:lvlText w:val=""/>
      <w:lvlJc w:val="left"/>
      <w:pPr>
        <w:ind w:left="838" w:hanging="360"/>
      </w:pPr>
      <w:rPr>
        <w:rFonts w:ascii="Wingdings" w:hAnsi="Wingdings" w:hint="default"/>
      </w:rPr>
    </w:lvl>
    <w:lvl w:ilvl="1" w:tplc="0C090003" w:tentative="1">
      <w:start w:val="1"/>
      <w:numFmt w:val="bullet"/>
      <w:lvlText w:val="o"/>
      <w:lvlJc w:val="left"/>
      <w:pPr>
        <w:ind w:left="1558" w:hanging="360"/>
      </w:pPr>
      <w:rPr>
        <w:rFonts w:ascii="Courier New" w:hAnsi="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1" w15:restartNumberingAfterBreak="0">
    <w:nsid w:val="6309259F"/>
    <w:multiLevelType w:val="multilevel"/>
    <w:tmpl w:val="08AAA4FA"/>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53E56E8"/>
    <w:multiLevelType w:val="hybridMultilevel"/>
    <w:tmpl w:val="B554DF0C"/>
    <w:lvl w:ilvl="0" w:tplc="79CAA5CA">
      <w:start w:val="2"/>
      <w:numFmt w:val="bullet"/>
      <w:lvlText w:val="–"/>
      <w:lvlJc w:val="left"/>
      <w:pPr>
        <w:ind w:left="1440" w:hanging="360"/>
      </w:pPr>
      <w:rPr>
        <w:rFonts w:ascii="Times New Roman" w:eastAsia="Times New Roman" w:hAnsi="Times New Roman" w:hint="default"/>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7D07D5"/>
    <w:multiLevelType w:val="hybridMultilevel"/>
    <w:tmpl w:val="5106A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0E1091"/>
    <w:multiLevelType w:val="hybridMultilevel"/>
    <w:tmpl w:val="249AA19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34BEF"/>
    <w:multiLevelType w:val="hybridMultilevel"/>
    <w:tmpl w:val="15B669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3D46C2"/>
    <w:multiLevelType w:val="hybridMultilevel"/>
    <w:tmpl w:val="67C0CBD2"/>
    <w:lvl w:ilvl="0" w:tplc="79CAA5CA">
      <w:start w:val="2"/>
      <w:numFmt w:val="bullet"/>
      <w:lvlText w:val="–"/>
      <w:lvlJc w:val="left"/>
      <w:pPr>
        <w:ind w:left="1440" w:hanging="360"/>
      </w:pPr>
      <w:rPr>
        <w:rFonts w:ascii="Times New Roman" w:eastAsia="Times New Roman" w:hAnsi="Times New Roman" w:hint="default"/>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552B38"/>
    <w:multiLevelType w:val="hybridMultilevel"/>
    <w:tmpl w:val="7D6AE3CC"/>
    <w:lvl w:ilvl="0" w:tplc="0C09000B">
      <w:start w:val="1"/>
      <w:numFmt w:val="bullet"/>
      <w:lvlText w:val=""/>
      <w:lvlJc w:val="left"/>
      <w:pPr>
        <w:ind w:left="720" w:hanging="360"/>
      </w:pPr>
      <w:rPr>
        <w:rFonts w:ascii="Wingdings" w:hAnsi="Wingdings" w:hint="default"/>
      </w:rPr>
    </w:lvl>
    <w:lvl w:ilvl="1" w:tplc="79CAA5CA">
      <w:start w:val="2"/>
      <w:numFmt w:val="bullet"/>
      <w:lvlText w:val="–"/>
      <w:lvlJc w:val="left"/>
      <w:pPr>
        <w:ind w:left="1440" w:hanging="360"/>
      </w:pPr>
      <w:rPr>
        <w:rFonts w:ascii="Times New Roman" w:eastAsia="Times New Roman" w:hAnsi="Times New Roman" w:hint="default"/>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CE49E7"/>
    <w:multiLevelType w:val="hybridMultilevel"/>
    <w:tmpl w:val="CA105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6"/>
    <w:lvlOverride w:ilvl="0">
      <w:lvl w:ilvl="0">
        <w:start w:val="1"/>
        <w:numFmt w:val="bullet"/>
        <w:pStyle w:val="DHHSbullet1"/>
        <w:lvlText w:val="•"/>
        <w:lvlJc w:val="left"/>
        <w:pPr>
          <w:ind w:left="284" w:hanging="284"/>
        </w:pPr>
        <w:rPr>
          <w:rFonts w:ascii="Calibri" w:hAnsi="Calibri" w:hint="default"/>
          <w:color w:val="auto"/>
        </w:rPr>
      </w:lvl>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num>
  <w:num w:numId="17">
    <w:abstractNumId w:val="13"/>
  </w:num>
  <w:num w:numId="18">
    <w:abstractNumId w:val="13"/>
  </w:num>
  <w:num w:numId="19">
    <w:abstractNumId w:val="10"/>
  </w:num>
  <w:num w:numId="20">
    <w:abstractNumId w:val="1"/>
  </w:num>
  <w:num w:numId="21">
    <w:abstractNumId w:val="13"/>
  </w:num>
  <w:num w:numId="22">
    <w:abstractNumId w:val="1"/>
  </w:num>
  <w:num w:numId="23">
    <w:abstractNumId w:val="14"/>
  </w:num>
  <w:num w:numId="24">
    <w:abstractNumId w:val="14"/>
  </w:num>
  <w:num w:numId="25">
    <w:abstractNumId w:val="21"/>
  </w:num>
  <w:num w:numId="26">
    <w:abstractNumId w:val="21"/>
  </w:num>
  <w:num w:numId="27">
    <w:abstractNumId w:val="15"/>
  </w:num>
  <w:num w:numId="28">
    <w:abstractNumId w:val="15"/>
  </w:num>
  <w:num w:numId="29">
    <w:abstractNumId w:val="16"/>
  </w:num>
  <w:num w:numId="30">
    <w:abstractNumId w:val="13"/>
  </w:num>
  <w:num w:numId="31">
    <w:abstractNumId w:val="1"/>
  </w:num>
  <w:num w:numId="32">
    <w:abstractNumId w:val="21"/>
  </w:num>
  <w:num w:numId="33">
    <w:abstractNumId w:val="14"/>
  </w:num>
  <w:num w:numId="34">
    <w:abstractNumId w:val="15"/>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3"/>
  </w:num>
  <w:num w:numId="53">
    <w:abstractNumId w:val="9"/>
  </w:num>
  <w:num w:numId="54">
    <w:abstractNumId w:val="24"/>
  </w:num>
  <w:num w:numId="55">
    <w:abstractNumId w:val="17"/>
  </w:num>
  <w:num w:numId="56">
    <w:abstractNumId w:val="28"/>
  </w:num>
  <w:num w:numId="57">
    <w:abstractNumId w:val="20"/>
  </w:num>
  <w:num w:numId="58">
    <w:abstractNumId w:val="0"/>
  </w:num>
  <w:num w:numId="59">
    <w:abstractNumId w:val="23"/>
  </w:num>
  <w:num w:numId="60">
    <w:abstractNumId w:val="22"/>
  </w:num>
  <w:num w:numId="61">
    <w:abstractNumId w:val="27"/>
  </w:num>
  <w:num w:numId="62">
    <w:abstractNumId w:val="29"/>
  </w:num>
  <w:num w:numId="63">
    <w:abstractNumId w:val="11"/>
  </w:num>
  <w:num w:numId="64">
    <w:abstractNumId w:val="5"/>
  </w:num>
  <w:num w:numId="65">
    <w:abstractNumId w:val="18"/>
  </w:num>
  <w:num w:numId="66">
    <w:abstractNumId w:val="26"/>
  </w:num>
  <w:num w:numId="67">
    <w:abstractNumId w:val="2"/>
  </w:num>
  <w:num w:numId="68">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2C"/>
    <w:rsid w:val="00002990"/>
    <w:rsid w:val="000048AC"/>
    <w:rsid w:val="00014FC4"/>
    <w:rsid w:val="00020AAB"/>
    <w:rsid w:val="000223A4"/>
    <w:rsid w:val="00022E60"/>
    <w:rsid w:val="00026C17"/>
    <w:rsid w:val="00026C19"/>
    <w:rsid w:val="00031263"/>
    <w:rsid w:val="00032407"/>
    <w:rsid w:val="0005587D"/>
    <w:rsid w:val="00060E93"/>
    <w:rsid w:val="00063BD4"/>
    <w:rsid w:val="00064936"/>
    <w:rsid w:val="00066FD1"/>
    <w:rsid w:val="000734F8"/>
    <w:rsid w:val="000736B8"/>
    <w:rsid w:val="000817CB"/>
    <w:rsid w:val="000873EF"/>
    <w:rsid w:val="000A1282"/>
    <w:rsid w:val="000A235B"/>
    <w:rsid w:val="000B3792"/>
    <w:rsid w:val="000C3632"/>
    <w:rsid w:val="000C50AB"/>
    <w:rsid w:val="000C6242"/>
    <w:rsid w:val="000C68DB"/>
    <w:rsid w:val="000D2C32"/>
    <w:rsid w:val="000E6F72"/>
    <w:rsid w:val="000F0478"/>
    <w:rsid w:val="000F0A50"/>
    <w:rsid w:val="00103D5E"/>
    <w:rsid w:val="00104EA7"/>
    <w:rsid w:val="00105FAD"/>
    <w:rsid w:val="0011155B"/>
    <w:rsid w:val="00111A6A"/>
    <w:rsid w:val="00121BF1"/>
    <w:rsid w:val="00127A8B"/>
    <w:rsid w:val="00134BE5"/>
    <w:rsid w:val="001412D1"/>
    <w:rsid w:val="001423E3"/>
    <w:rsid w:val="00144B1D"/>
    <w:rsid w:val="001475EA"/>
    <w:rsid w:val="001504F5"/>
    <w:rsid w:val="0015132F"/>
    <w:rsid w:val="001517BD"/>
    <w:rsid w:val="0017248D"/>
    <w:rsid w:val="00173626"/>
    <w:rsid w:val="0017614A"/>
    <w:rsid w:val="0018177B"/>
    <w:rsid w:val="001817CD"/>
    <w:rsid w:val="0018235E"/>
    <w:rsid w:val="001834B7"/>
    <w:rsid w:val="0018768C"/>
    <w:rsid w:val="00192BA0"/>
    <w:rsid w:val="00197303"/>
    <w:rsid w:val="001A17EA"/>
    <w:rsid w:val="001A1D17"/>
    <w:rsid w:val="001A1EE3"/>
    <w:rsid w:val="001A22AA"/>
    <w:rsid w:val="001A496D"/>
    <w:rsid w:val="001A7A18"/>
    <w:rsid w:val="001B1565"/>
    <w:rsid w:val="001B166D"/>
    <w:rsid w:val="001B28B5"/>
    <w:rsid w:val="001B2975"/>
    <w:rsid w:val="001C08A9"/>
    <w:rsid w:val="001C122D"/>
    <w:rsid w:val="001C4763"/>
    <w:rsid w:val="001D1DD0"/>
    <w:rsid w:val="001D2A82"/>
    <w:rsid w:val="001D569B"/>
    <w:rsid w:val="001E0EA3"/>
    <w:rsid w:val="001E3F3D"/>
    <w:rsid w:val="001E4995"/>
    <w:rsid w:val="001E7A42"/>
    <w:rsid w:val="001F09DC"/>
    <w:rsid w:val="001F43E6"/>
    <w:rsid w:val="00213772"/>
    <w:rsid w:val="00215D68"/>
    <w:rsid w:val="00220749"/>
    <w:rsid w:val="0022422C"/>
    <w:rsid w:val="0022724E"/>
    <w:rsid w:val="00230666"/>
    <w:rsid w:val="00231153"/>
    <w:rsid w:val="0023252E"/>
    <w:rsid w:val="00241C31"/>
    <w:rsid w:val="002535BF"/>
    <w:rsid w:val="00256E7C"/>
    <w:rsid w:val="0026377B"/>
    <w:rsid w:val="00264A6E"/>
    <w:rsid w:val="002679D5"/>
    <w:rsid w:val="002714FD"/>
    <w:rsid w:val="00274BD3"/>
    <w:rsid w:val="00275F94"/>
    <w:rsid w:val="00277D12"/>
    <w:rsid w:val="00281B9C"/>
    <w:rsid w:val="00284C9B"/>
    <w:rsid w:val="002A141B"/>
    <w:rsid w:val="002A26B6"/>
    <w:rsid w:val="002A6A4E"/>
    <w:rsid w:val="002B5A85"/>
    <w:rsid w:val="002B5BBE"/>
    <w:rsid w:val="002B63A7"/>
    <w:rsid w:val="002B6985"/>
    <w:rsid w:val="002C3986"/>
    <w:rsid w:val="002C5543"/>
    <w:rsid w:val="002D0F7F"/>
    <w:rsid w:val="002E0198"/>
    <w:rsid w:val="002E1D7C"/>
    <w:rsid w:val="002E3906"/>
    <w:rsid w:val="002F449B"/>
    <w:rsid w:val="002F4D86"/>
    <w:rsid w:val="002F5D69"/>
    <w:rsid w:val="002F7C77"/>
    <w:rsid w:val="00300CB3"/>
    <w:rsid w:val="0030394B"/>
    <w:rsid w:val="0030464A"/>
    <w:rsid w:val="003072C6"/>
    <w:rsid w:val="00310D8E"/>
    <w:rsid w:val="00315BBD"/>
    <w:rsid w:val="0031753A"/>
    <w:rsid w:val="00320293"/>
    <w:rsid w:val="00322CC2"/>
    <w:rsid w:val="00326AC7"/>
    <w:rsid w:val="003271DC"/>
    <w:rsid w:val="00332FA0"/>
    <w:rsid w:val="00334B54"/>
    <w:rsid w:val="0033739E"/>
    <w:rsid w:val="00343733"/>
    <w:rsid w:val="00355886"/>
    <w:rsid w:val="00356814"/>
    <w:rsid w:val="003741AD"/>
    <w:rsid w:val="0038019F"/>
    <w:rsid w:val="00382071"/>
    <w:rsid w:val="003A2F25"/>
    <w:rsid w:val="003B2807"/>
    <w:rsid w:val="003C1A21"/>
    <w:rsid w:val="003C30DF"/>
    <w:rsid w:val="003C68F2"/>
    <w:rsid w:val="003C7D01"/>
    <w:rsid w:val="003D58B8"/>
    <w:rsid w:val="003D5CFB"/>
    <w:rsid w:val="003E2636"/>
    <w:rsid w:val="003E2E12"/>
    <w:rsid w:val="003E72D6"/>
    <w:rsid w:val="003F39CE"/>
    <w:rsid w:val="00401108"/>
    <w:rsid w:val="00402927"/>
    <w:rsid w:val="00402B35"/>
    <w:rsid w:val="004065F1"/>
    <w:rsid w:val="00407993"/>
    <w:rsid w:val="00410AFD"/>
    <w:rsid w:val="00411833"/>
    <w:rsid w:val="00412F64"/>
    <w:rsid w:val="00417BEB"/>
    <w:rsid w:val="00417CC6"/>
    <w:rsid w:val="004324FF"/>
    <w:rsid w:val="00432A55"/>
    <w:rsid w:val="004372B7"/>
    <w:rsid w:val="0044260A"/>
    <w:rsid w:val="00444D82"/>
    <w:rsid w:val="004564C6"/>
    <w:rsid w:val="004610CC"/>
    <w:rsid w:val="00465464"/>
    <w:rsid w:val="00465E87"/>
    <w:rsid w:val="00466626"/>
    <w:rsid w:val="0047786A"/>
    <w:rsid w:val="00477A65"/>
    <w:rsid w:val="00482DB3"/>
    <w:rsid w:val="004A0236"/>
    <w:rsid w:val="004A369A"/>
    <w:rsid w:val="004A3B3E"/>
    <w:rsid w:val="004C48DD"/>
    <w:rsid w:val="004C5777"/>
    <w:rsid w:val="004D0173"/>
    <w:rsid w:val="004D1056"/>
    <w:rsid w:val="004D2B7B"/>
    <w:rsid w:val="004D3577"/>
    <w:rsid w:val="004E1EDE"/>
    <w:rsid w:val="004E21E2"/>
    <w:rsid w:val="004E293F"/>
    <w:rsid w:val="004E380D"/>
    <w:rsid w:val="004E7922"/>
    <w:rsid w:val="004F0DFC"/>
    <w:rsid w:val="004F3441"/>
    <w:rsid w:val="004F41B2"/>
    <w:rsid w:val="004F4AFC"/>
    <w:rsid w:val="004F52A5"/>
    <w:rsid w:val="004F614D"/>
    <w:rsid w:val="00500C8C"/>
    <w:rsid w:val="00501375"/>
    <w:rsid w:val="00501D3B"/>
    <w:rsid w:val="005022C9"/>
    <w:rsid w:val="00502B8F"/>
    <w:rsid w:val="0050779D"/>
    <w:rsid w:val="005139EA"/>
    <w:rsid w:val="00520BBB"/>
    <w:rsid w:val="00523997"/>
    <w:rsid w:val="00524310"/>
    <w:rsid w:val="00525456"/>
    <w:rsid w:val="00530452"/>
    <w:rsid w:val="00532236"/>
    <w:rsid w:val="00532B51"/>
    <w:rsid w:val="005338EA"/>
    <w:rsid w:val="00541DFE"/>
    <w:rsid w:val="00543E6C"/>
    <w:rsid w:val="00544184"/>
    <w:rsid w:val="00551789"/>
    <w:rsid w:val="00553F68"/>
    <w:rsid w:val="005552FD"/>
    <w:rsid w:val="005600E5"/>
    <w:rsid w:val="00564E8F"/>
    <w:rsid w:val="00567E60"/>
    <w:rsid w:val="005717E0"/>
    <w:rsid w:val="005728A4"/>
    <w:rsid w:val="005763FC"/>
    <w:rsid w:val="00576EB4"/>
    <w:rsid w:val="00577B30"/>
    <w:rsid w:val="00582768"/>
    <w:rsid w:val="00583461"/>
    <w:rsid w:val="005856A4"/>
    <w:rsid w:val="00590730"/>
    <w:rsid w:val="00590A4D"/>
    <w:rsid w:val="0059286E"/>
    <w:rsid w:val="005A3051"/>
    <w:rsid w:val="005A3F41"/>
    <w:rsid w:val="005A53FE"/>
    <w:rsid w:val="005B7D22"/>
    <w:rsid w:val="005C029E"/>
    <w:rsid w:val="005C4675"/>
    <w:rsid w:val="005C4C30"/>
    <w:rsid w:val="005D06B3"/>
    <w:rsid w:val="005D75AD"/>
    <w:rsid w:val="005E085D"/>
    <w:rsid w:val="005E3FA7"/>
    <w:rsid w:val="005E7963"/>
    <w:rsid w:val="005F218C"/>
    <w:rsid w:val="005F4523"/>
    <w:rsid w:val="00601D4D"/>
    <w:rsid w:val="006021B4"/>
    <w:rsid w:val="00605B5B"/>
    <w:rsid w:val="006062D8"/>
    <w:rsid w:val="00606827"/>
    <w:rsid w:val="00606C23"/>
    <w:rsid w:val="00620262"/>
    <w:rsid w:val="00621B4C"/>
    <w:rsid w:val="00627C52"/>
    <w:rsid w:val="00630937"/>
    <w:rsid w:val="00651063"/>
    <w:rsid w:val="00653B84"/>
    <w:rsid w:val="00653E0D"/>
    <w:rsid w:val="006603B2"/>
    <w:rsid w:val="00661CEA"/>
    <w:rsid w:val="00662482"/>
    <w:rsid w:val="00673621"/>
    <w:rsid w:val="00685FB8"/>
    <w:rsid w:val="006865C8"/>
    <w:rsid w:val="00686B48"/>
    <w:rsid w:val="00687038"/>
    <w:rsid w:val="0068714E"/>
    <w:rsid w:val="006872F5"/>
    <w:rsid w:val="006929F7"/>
    <w:rsid w:val="0069374A"/>
    <w:rsid w:val="00694AB8"/>
    <w:rsid w:val="00695EF7"/>
    <w:rsid w:val="0069699D"/>
    <w:rsid w:val="006A18B6"/>
    <w:rsid w:val="006B0EB6"/>
    <w:rsid w:val="006B2C51"/>
    <w:rsid w:val="006B6361"/>
    <w:rsid w:val="006B65F6"/>
    <w:rsid w:val="006C0F38"/>
    <w:rsid w:val="006D24CE"/>
    <w:rsid w:val="006D360C"/>
    <w:rsid w:val="006D5259"/>
    <w:rsid w:val="006D5AC9"/>
    <w:rsid w:val="006D66ED"/>
    <w:rsid w:val="006E786B"/>
    <w:rsid w:val="006F3E0E"/>
    <w:rsid w:val="006F525F"/>
    <w:rsid w:val="007002B1"/>
    <w:rsid w:val="00704EB7"/>
    <w:rsid w:val="00705742"/>
    <w:rsid w:val="007104FE"/>
    <w:rsid w:val="007111E3"/>
    <w:rsid w:val="00711B0C"/>
    <w:rsid w:val="007121A2"/>
    <w:rsid w:val="00713981"/>
    <w:rsid w:val="007176D6"/>
    <w:rsid w:val="00720CFE"/>
    <w:rsid w:val="00727D54"/>
    <w:rsid w:val="00731EF2"/>
    <w:rsid w:val="007344C5"/>
    <w:rsid w:val="00734959"/>
    <w:rsid w:val="00735137"/>
    <w:rsid w:val="0073520D"/>
    <w:rsid w:val="00741F36"/>
    <w:rsid w:val="00742D07"/>
    <w:rsid w:val="00752B47"/>
    <w:rsid w:val="00753497"/>
    <w:rsid w:val="00755D7B"/>
    <w:rsid w:val="00755DC0"/>
    <w:rsid w:val="00764891"/>
    <w:rsid w:val="00780226"/>
    <w:rsid w:val="00781AB4"/>
    <w:rsid w:val="007923B7"/>
    <w:rsid w:val="00792616"/>
    <w:rsid w:val="007926BB"/>
    <w:rsid w:val="0079344C"/>
    <w:rsid w:val="007968AE"/>
    <w:rsid w:val="007A0283"/>
    <w:rsid w:val="007B6284"/>
    <w:rsid w:val="007C02C7"/>
    <w:rsid w:val="007C144C"/>
    <w:rsid w:val="007C21EE"/>
    <w:rsid w:val="007D3A2E"/>
    <w:rsid w:val="007D59BB"/>
    <w:rsid w:val="007D6652"/>
    <w:rsid w:val="007E343D"/>
    <w:rsid w:val="007F4383"/>
    <w:rsid w:val="007F5858"/>
    <w:rsid w:val="007F649C"/>
    <w:rsid w:val="007F6862"/>
    <w:rsid w:val="00801601"/>
    <w:rsid w:val="0080169A"/>
    <w:rsid w:val="008036A7"/>
    <w:rsid w:val="00810991"/>
    <w:rsid w:val="00814A9B"/>
    <w:rsid w:val="00814F66"/>
    <w:rsid w:val="008174A9"/>
    <w:rsid w:val="00817C9E"/>
    <w:rsid w:val="008205AF"/>
    <w:rsid w:val="008225E5"/>
    <w:rsid w:val="00831053"/>
    <w:rsid w:val="008314D2"/>
    <w:rsid w:val="0083254D"/>
    <w:rsid w:val="00836249"/>
    <w:rsid w:val="00836F00"/>
    <w:rsid w:val="00846192"/>
    <w:rsid w:val="00846753"/>
    <w:rsid w:val="00850806"/>
    <w:rsid w:val="00856A1B"/>
    <w:rsid w:val="008621C3"/>
    <w:rsid w:val="00865486"/>
    <w:rsid w:val="008669BE"/>
    <w:rsid w:val="00876275"/>
    <w:rsid w:val="00882B99"/>
    <w:rsid w:val="00886121"/>
    <w:rsid w:val="00894456"/>
    <w:rsid w:val="008A295B"/>
    <w:rsid w:val="008A3AE0"/>
    <w:rsid w:val="008A59B5"/>
    <w:rsid w:val="008A5B97"/>
    <w:rsid w:val="008A6604"/>
    <w:rsid w:val="008B1C73"/>
    <w:rsid w:val="008B3403"/>
    <w:rsid w:val="008B5482"/>
    <w:rsid w:val="008C11F4"/>
    <w:rsid w:val="008C2BEC"/>
    <w:rsid w:val="008C6523"/>
    <w:rsid w:val="008C6D0E"/>
    <w:rsid w:val="008D09D2"/>
    <w:rsid w:val="008D39C5"/>
    <w:rsid w:val="008E1D89"/>
    <w:rsid w:val="008E3E3E"/>
    <w:rsid w:val="008F5F87"/>
    <w:rsid w:val="00900A34"/>
    <w:rsid w:val="00906132"/>
    <w:rsid w:val="00907073"/>
    <w:rsid w:val="00907F01"/>
    <w:rsid w:val="00912C19"/>
    <w:rsid w:val="009208F5"/>
    <w:rsid w:val="00927D51"/>
    <w:rsid w:val="00932272"/>
    <w:rsid w:val="00932862"/>
    <w:rsid w:val="009346AC"/>
    <w:rsid w:val="00935D60"/>
    <w:rsid w:val="009447BB"/>
    <w:rsid w:val="00944C48"/>
    <w:rsid w:val="00946335"/>
    <w:rsid w:val="009513C4"/>
    <w:rsid w:val="00955E55"/>
    <w:rsid w:val="00962200"/>
    <w:rsid w:val="00966F54"/>
    <w:rsid w:val="00967C0F"/>
    <w:rsid w:val="00975E61"/>
    <w:rsid w:val="00976E31"/>
    <w:rsid w:val="00977C63"/>
    <w:rsid w:val="00980087"/>
    <w:rsid w:val="00980C0B"/>
    <w:rsid w:val="009850FF"/>
    <w:rsid w:val="0098524F"/>
    <w:rsid w:val="00985596"/>
    <w:rsid w:val="00987ABE"/>
    <w:rsid w:val="009906C7"/>
    <w:rsid w:val="009963CD"/>
    <w:rsid w:val="009A57EE"/>
    <w:rsid w:val="009A632B"/>
    <w:rsid w:val="009B266D"/>
    <w:rsid w:val="009B5CBF"/>
    <w:rsid w:val="009C184A"/>
    <w:rsid w:val="009C2CA5"/>
    <w:rsid w:val="009C6596"/>
    <w:rsid w:val="009D3E45"/>
    <w:rsid w:val="009D4AA8"/>
    <w:rsid w:val="009E4235"/>
    <w:rsid w:val="009E580A"/>
    <w:rsid w:val="009F351F"/>
    <w:rsid w:val="009F3F89"/>
    <w:rsid w:val="009F480E"/>
    <w:rsid w:val="009F5EF2"/>
    <w:rsid w:val="00A022A2"/>
    <w:rsid w:val="00A02D15"/>
    <w:rsid w:val="00A1095F"/>
    <w:rsid w:val="00A11403"/>
    <w:rsid w:val="00A26B0D"/>
    <w:rsid w:val="00A32C35"/>
    <w:rsid w:val="00A3735A"/>
    <w:rsid w:val="00A42F1B"/>
    <w:rsid w:val="00A44EBE"/>
    <w:rsid w:val="00A52B36"/>
    <w:rsid w:val="00A546BC"/>
    <w:rsid w:val="00A55989"/>
    <w:rsid w:val="00A5694A"/>
    <w:rsid w:val="00A63DA4"/>
    <w:rsid w:val="00A657A8"/>
    <w:rsid w:val="00A73A66"/>
    <w:rsid w:val="00A75CD5"/>
    <w:rsid w:val="00A763D5"/>
    <w:rsid w:val="00A83DF3"/>
    <w:rsid w:val="00A85915"/>
    <w:rsid w:val="00A86270"/>
    <w:rsid w:val="00A94D93"/>
    <w:rsid w:val="00A952AB"/>
    <w:rsid w:val="00A9783D"/>
    <w:rsid w:val="00AA45E6"/>
    <w:rsid w:val="00AA5A37"/>
    <w:rsid w:val="00AB489C"/>
    <w:rsid w:val="00AB50C1"/>
    <w:rsid w:val="00AB6936"/>
    <w:rsid w:val="00AC0C3B"/>
    <w:rsid w:val="00AC2D63"/>
    <w:rsid w:val="00AD03D8"/>
    <w:rsid w:val="00AD05BC"/>
    <w:rsid w:val="00AD0711"/>
    <w:rsid w:val="00AD704E"/>
    <w:rsid w:val="00AE479A"/>
    <w:rsid w:val="00AE5FE0"/>
    <w:rsid w:val="00AE60B7"/>
    <w:rsid w:val="00AF2AB7"/>
    <w:rsid w:val="00AF2B1C"/>
    <w:rsid w:val="00AF4D3F"/>
    <w:rsid w:val="00B0300B"/>
    <w:rsid w:val="00B05457"/>
    <w:rsid w:val="00B057F5"/>
    <w:rsid w:val="00B126CB"/>
    <w:rsid w:val="00B128A0"/>
    <w:rsid w:val="00B14DB5"/>
    <w:rsid w:val="00B20240"/>
    <w:rsid w:val="00B23281"/>
    <w:rsid w:val="00B25021"/>
    <w:rsid w:val="00B27571"/>
    <w:rsid w:val="00B34C7A"/>
    <w:rsid w:val="00B35101"/>
    <w:rsid w:val="00B367AC"/>
    <w:rsid w:val="00B371B6"/>
    <w:rsid w:val="00B4164B"/>
    <w:rsid w:val="00B47686"/>
    <w:rsid w:val="00B5409A"/>
    <w:rsid w:val="00B55574"/>
    <w:rsid w:val="00B6011C"/>
    <w:rsid w:val="00B643EF"/>
    <w:rsid w:val="00B6525D"/>
    <w:rsid w:val="00B65ABA"/>
    <w:rsid w:val="00B67097"/>
    <w:rsid w:val="00B6790F"/>
    <w:rsid w:val="00B7021C"/>
    <w:rsid w:val="00B71B3B"/>
    <w:rsid w:val="00B76A81"/>
    <w:rsid w:val="00B853DB"/>
    <w:rsid w:val="00B87D61"/>
    <w:rsid w:val="00B93948"/>
    <w:rsid w:val="00BA34BA"/>
    <w:rsid w:val="00BA42C0"/>
    <w:rsid w:val="00BA4BC7"/>
    <w:rsid w:val="00BA55B7"/>
    <w:rsid w:val="00BA5E47"/>
    <w:rsid w:val="00BA6A0B"/>
    <w:rsid w:val="00BA7D57"/>
    <w:rsid w:val="00BB091A"/>
    <w:rsid w:val="00BB156E"/>
    <w:rsid w:val="00BB3330"/>
    <w:rsid w:val="00BB4672"/>
    <w:rsid w:val="00BB47D7"/>
    <w:rsid w:val="00BB4A62"/>
    <w:rsid w:val="00BC01C1"/>
    <w:rsid w:val="00BC45A1"/>
    <w:rsid w:val="00BC5A34"/>
    <w:rsid w:val="00BC6D08"/>
    <w:rsid w:val="00BD17F5"/>
    <w:rsid w:val="00BD368D"/>
    <w:rsid w:val="00BD6E05"/>
    <w:rsid w:val="00BE54D0"/>
    <w:rsid w:val="00BF6B6C"/>
    <w:rsid w:val="00BF7251"/>
    <w:rsid w:val="00BF7F28"/>
    <w:rsid w:val="00C01909"/>
    <w:rsid w:val="00C03CBF"/>
    <w:rsid w:val="00C05787"/>
    <w:rsid w:val="00C07173"/>
    <w:rsid w:val="00C11871"/>
    <w:rsid w:val="00C13059"/>
    <w:rsid w:val="00C156D4"/>
    <w:rsid w:val="00C167A3"/>
    <w:rsid w:val="00C2181C"/>
    <w:rsid w:val="00C23B82"/>
    <w:rsid w:val="00C2657D"/>
    <w:rsid w:val="00C26A87"/>
    <w:rsid w:val="00C3745D"/>
    <w:rsid w:val="00C416E1"/>
    <w:rsid w:val="00C47BF8"/>
    <w:rsid w:val="00C51B1C"/>
    <w:rsid w:val="00C53DCE"/>
    <w:rsid w:val="00C655F2"/>
    <w:rsid w:val="00C65B4C"/>
    <w:rsid w:val="00C65B61"/>
    <w:rsid w:val="00C70E53"/>
    <w:rsid w:val="00C72979"/>
    <w:rsid w:val="00C81529"/>
    <w:rsid w:val="00C8167C"/>
    <w:rsid w:val="00C81BA6"/>
    <w:rsid w:val="00C8377C"/>
    <w:rsid w:val="00C877CD"/>
    <w:rsid w:val="00C902E9"/>
    <w:rsid w:val="00C908B7"/>
    <w:rsid w:val="00C91D81"/>
    <w:rsid w:val="00C92A42"/>
    <w:rsid w:val="00CA18F2"/>
    <w:rsid w:val="00CA439D"/>
    <w:rsid w:val="00CA4871"/>
    <w:rsid w:val="00CA542C"/>
    <w:rsid w:val="00CA6722"/>
    <w:rsid w:val="00CA6D4E"/>
    <w:rsid w:val="00CA7B4B"/>
    <w:rsid w:val="00CB36A8"/>
    <w:rsid w:val="00CB4FC7"/>
    <w:rsid w:val="00CC139A"/>
    <w:rsid w:val="00CC1E7A"/>
    <w:rsid w:val="00CC4F64"/>
    <w:rsid w:val="00CD058C"/>
    <w:rsid w:val="00CD3B98"/>
    <w:rsid w:val="00CD4216"/>
    <w:rsid w:val="00CD518C"/>
    <w:rsid w:val="00CD733F"/>
    <w:rsid w:val="00CD7C65"/>
    <w:rsid w:val="00CE0942"/>
    <w:rsid w:val="00CE7CA5"/>
    <w:rsid w:val="00CE7DAF"/>
    <w:rsid w:val="00CF1D81"/>
    <w:rsid w:val="00CF2DC9"/>
    <w:rsid w:val="00CF5AE6"/>
    <w:rsid w:val="00CF5BC9"/>
    <w:rsid w:val="00CF7CB6"/>
    <w:rsid w:val="00D02405"/>
    <w:rsid w:val="00D311AB"/>
    <w:rsid w:val="00D32290"/>
    <w:rsid w:val="00D325A8"/>
    <w:rsid w:val="00D43DCB"/>
    <w:rsid w:val="00D442AD"/>
    <w:rsid w:val="00D5618A"/>
    <w:rsid w:val="00D5784B"/>
    <w:rsid w:val="00D63EFB"/>
    <w:rsid w:val="00D658AF"/>
    <w:rsid w:val="00D70A79"/>
    <w:rsid w:val="00D83DE9"/>
    <w:rsid w:val="00D8450D"/>
    <w:rsid w:val="00D87038"/>
    <w:rsid w:val="00D95AF9"/>
    <w:rsid w:val="00DA09C9"/>
    <w:rsid w:val="00DA1822"/>
    <w:rsid w:val="00DB5E1F"/>
    <w:rsid w:val="00DB7586"/>
    <w:rsid w:val="00DC19D8"/>
    <w:rsid w:val="00DC2613"/>
    <w:rsid w:val="00DC4512"/>
    <w:rsid w:val="00DC5A1F"/>
    <w:rsid w:val="00DD3691"/>
    <w:rsid w:val="00DD4B55"/>
    <w:rsid w:val="00DE1E90"/>
    <w:rsid w:val="00DE24E6"/>
    <w:rsid w:val="00DE33CF"/>
    <w:rsid w:val="00DE5C8A"/>
    <w:rsid w:val="00DE7B07"/>
    <w:rsid w:val="00DF07AD"/>
    <w:rsid w:val="00DF3364"/>
    <w:rsid w:val="00E0374E"/>
    <w:rsid w:val="00E055BB"/>
    <w:rsid w:val="00E11988"/>
    <w:rsid w:val="00E12798"/>
    <w:rsid w:val="00E13209"/>
    <w:rsid w:val="00E15DA9"/>
    <w:rsid w:val="00E2095D"/>
    <w:rsid w:val="00E30414"/>
    <w:rsid w:val="00E40769"/>
    <w:rsid w:val="00E4171E"/>
    <w:rsid w:val="00E42E8B"/>
    <w:rsid w:val="00E478BF"/>
    <w:rsid w:val="00E60F12"/>
    <w:rsid w:val="00E645ED"/>
    <w:rsid w:val="00E652FB"/>
    <w:rsid w:val="00E66C20"/>
    <w:rsid w:val="00E71C46"/>
    <w:rsid w:val="00E731B7"/>
    <w:rsid w:val="00E75ED2"/>
    <w:rsid w:val="00E8280C"/>
    <w:rsid w:val="00E83E4C"/>
    <w:rsid w:val="00E91933"/>
    <w:rsid w:val="00E92A81"/>
    <w:rsid w:val="00E969B1"/>
    <w:rsid w:val="00EA44EB"/>
    <w:rsid w:val="00EB6552"/>
    <w:rsid w:val="00EC18E6"/>
    <w:rsid w:val="00EC1984"/>
    <w:rsid w:val="00EC234C"/>
    <w:rsid w:val="00ED3529"/>
    <w:rsid w:val="00ED4D17"/>
    <w:rsid w:val="00EE3633"/>
    <w:rsid w:val="00EE4313"/>
    <w:rsid w:val="00EE6CD3"/>
    <w:rsid w:val="00EF20D7"/>
    <w:rsid w:val="00EF3419"/>
    <w:rsid w:val="00F0119C"/>
    <w:rsid w:val="00F02BDB"/>
    <w:rsid w:val="00F0441B"/>
    <w:rsid w:val="00F07623"/>
    <w:rsid w:val="00F07D0B"/>
    <w:rsid w:val="00F2073E"/>
    <w:rsid w:val="00F3136B"/>
    <w:rsid w:val="00F314F1"/>
    <w:rsid w:val="00F327EA"/>
    <w:rsid w:val="00F33641"/>
    <w:rsid w:val="00F4114F"/>
    <w:rsid w:val="00F42842"/>
    <w:rsid w:val="00F43EE0"/>
    <w:rsid w:val="00F46E40"/>
    <w:rsid w:val="00F4760A"/>
    <w:rsid w:val="00F529FE"/>
    <w:rsid w:val="00F52B8E"/>
    <w:rsid w:val="00F53CFD"/>
    <w:rsid w:val="00F54AF5"/>
    <w:rsid w:val="00F557E3"/>
    <w:rsid w:val="00F57089"/>
    <w:rsid w:val="00F61E78"/>
    <w:rsid w:val="00F635C5"/>
    <w:rsid w:val="00F736E3"/>
    <w:rsid w:val="00F762A0"/>
    <w:rsid w:val="00F767E8"/>
    <w:rsid w:val="00F81623"/>
    <w:rsid w:val="00F86A3F"/>
    <w:rsid w:val="00F91297"/>
    <w:rsid w:val="00F9133B"/>
    <w:rsid w:val="00F97730"/>
    <w:rsid w:val="00FB32A4"/>
    <w:rsid w:val="00FB34F2"/>
    <w:rsid w:val="00FB594D"/>
    <w:rsid w:val="00FC0E03"/>
    <w:rsid w:val="00FC107F"/>
    <w:rsid w:val="00FC41F9"/>
    <w:rsid w:val="00FC49BB"/>
    <w:rsid w:val="00FD616B"/>
    <w:rsid w:val="00FD640D"/>
    <w:rsid w:val="00FE367F"/>
    <w:rsid w:val="00FF0199"/>
    <w:rsid w:val="00FF29DC"/>
  </w:rsids>
  <m:mathPr>
    <m:mathFont m:val="Cambria Math"/>
    <m:brkBin m:val="before"/>
    <m:brkBinSub m:val="--"/>
    <m:smallFrac m:val="0"/>
    <m:dispDef m:val="0"/>
    <m:lMargin m:val="0"/>
    <m:rMargin m:val="0"/>
    <m:defJc m:val="centerGroup"/>
    <m:wrapRight/>
    <m:intLim m:val="subSup"/>
    <m:naryLim m:val="subSup"/>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66FEB1A"/>
  <w15:docId w15:val="{7681F58A-8913-48DE-AAC7-56F7E4AF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50FF"/>
    <w:rPr>
      <w:rFonts w:ascii="Cambria" w:hAnsi="Cambria"/>
      <w:lang w:eastAsia="en-US"/>
    </w:rPr>
  </w:style>
  <w:style w:type="paragraph" w:styleId="Heading1">
    <w:name w:val="heading 1"/>
    <w:next w:val="DHHSbody"/>
    <w:link w:val="Heading1Char"/>
    <w:uiPriority w:val="9"/>
    <w:qFormat/>
    <w:rsid w:val="00CF5BC9"/>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9"/>
    <w:qFormat/>
    <w:rsid w:val="00CF5BC9"/>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CF5BC9"/>
    <w:pPr>
      <w:keepNext/>
      <w:keepLines/>
      <w:spacing w:before="240" w:after="120" w:line="240" w:lineRule="atLeast"/>
      <w:outlineLvl w:val="3"/>
    </w:pPr>
    <w:rPr>
      <w:rFonts w:ascii="Arial" w:eastAsia="MS Mincho" w:hAnsi="Arial"/>
      <w:b/>
      <w:bCs/>
      <w:color w:val="004EA8"/>
      <w:lang w:eastAsia="en-US"/>
    </w:rPr>
  </w:style>
  <w:style w:type="paragraph" w:styleId="Heading5">
    <w:name w:val="heading 5"/>
    <w:next w:val="DHHSbody"/>
    <w:link w:val="Heading5Char"/>
    <w:uiPriority w:val="9"/>
    <w:qFormat/>
    <w:rsid w:val="00EE3633"/>
    <w:pPr>
      <w:keepNext/>
      <w:keepLines/>
      <w:suppressAutoHyphens/>
      <w:spacing w:before="240" w:after="120" w:line="240" w:lineRule="atLeast"/>
      <w:outlineLvl w:val="4"/>
    </w:pPr>
    <w:rPr>
      <w:rFonts w:ascii="Arial" w:eastAsia="MS Mincho"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5BC9"/>
    <w:rPr>
      <w:rFonts w:ascii="Arial" w:hAnsi="Arial"/>
      <w:bCs/>
      <w:color w:val="004EA8"/>
      <w:sz w:val="44"/>
      <w:szCs w:val="44"/>
      <w:lang w:eastAsia="en-US"/>
    </w:rPr>
  </w:style>
  <w:style w:type="character" w:customStyle="1" w:styleId="Heading2Char">
    <w:name w:val="Heading 2 Char"/>
    <w:link w:val="Heading2"/>
    <w:uiPriority w:val="9"/>
    <w:rsid w:val="00CF5BC9"/>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CF5BC9"/>
    <w:rPr>
      <w:rFonts w:ascii="Arial" w:eastAsia="MS Mincho" w:hAnsi="Arial"/>
      <w:b/>
      <w:bCs/>
      <w:color w:val="004EA8"/>
      <w:lang w:eastAsia="en-U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7F6862"/>
    <w:rPr>
      <w:color w:val="87189D"/>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E4171E"/>
    <w:rPr>
      <w:rFonts w:ascii="Arial" w:hAnsi="Arial"/>
    </w:rPr>
    <w:tblPr>
      <w:tblBorders>
        <w:top w:val="single" w:sz="4" w:space="0" w:color="004C97"/>
        <w:bottom w:val="single" w:sz="4" w:space="0" w:color="004C97"/>
        <w:insideH w:val="single" w:sz="4" w:space="0" w:color="004C97"/>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A18B6"/>
    <w:pPr>
      <w:spacing w:after="120" w:line="380" w:lineRule="atLeast"/>
      <w:ind w:left="1701"/>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CF5BC9"/>
    <w:pPr>
      <w:keepLines/>
      <w:spacing w:before="3500" w:after="240" w:line="580" w:lineRule="atLeast"/>
      <w:ind w:left="1701"/>
    </w:pPr>
    <w:rPr>
      <w:rFonts w:ascii="Arial" w:hAnsi="Arial"/>
      <w:color w:val="004EA8"/>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764891"/>
    <w:pPr>
      <w:keepNext/>
      <w:keepLines/>
      <w:tabs>
        <w:tab w:val="right" w:leader="dot" w:pos="9299"/>
      </w:tabs>
      <w:spacing w:before="160" w:after="60" w:line="270" w:lineRule="atLeast"/>
    </w:pPr>
    <w:rPr>
      <w:rFonts w:ascii="Arial" w:hAnsi="Arial"/>
      <w:noProof/>
      <w:color w:val="004C97"/>
      <w:sz w:val="22"/>
    </w:rPr>
  </w:style>
  <w:style w:type="paragraph" w:styleId="TOC2">
    <w:name w:val="toc 2"/>
    <w:basedOn w:val="Normal"/>
    <w:next w:val="Normal"/>
    <w:uiPriority w:val="39"/>
    <w:rsid w:val="000C3632"/>
    <w:pPr>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DE7B07"/>
    <w:pPr>
      <w:keepLines/>
      <w:tabs>
        <w:tab w:val="right" w:leader="dot" w:pos="9299"/>
      </w:tabs>
      <w:spacing w:after="60" w:line="270" w:lineRule="atLeast"/>
      <w:ind w:left="284"/>
    </w:pPr>
    <w:rPr>
      <w:rFonts w:ascii="Arial" w:hAnsi="Arial" w:cs="Arial"/>
    </w:rPr>
  </w:style>
  <w:style w:type="paragraph" w:styleId="TOC4">
    <w:name w:val="toc 4"/>
    <w:basedOn w:val="TOC3"/>
    <w:uiPriority w:val="39"/>
    <w:rsid w:val="00B126CB"/>
    <w:pPr>
      <w:ind w:left="567"/>
    </w:pPr>
  </w:style>
  <w:style w:type="paragraph" w:styleId="TOC5">
    <w:name w:val="toc 5"/>
    <w:basedOn w:val="TOC4"/>
    <w:rsid w:val="00B126CB"/>
    <w:pPr>
      <w:ind w:left="851"/>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A94D93"/>
    <w:pPr>
      <w:keepLines/>
      <w:spacing w:after="240" w:line="580" w:lineRule="atLeast"/>
    </w:pPr>
    <w:rPr>
      <w:rFonts w:ascii="Arial" w:hAnsi="Arial"/>
      <w:bCs/>
      <w:color w:val="FFFFFF"/>
      <w:sz w:val="50"/>
      <w:szCs w:val="50"/>
      <w:lang w:eastAsia="en-US"/>
    </w:rPr>
  </w:style>
  <w:style w:type="paragraph" w:customStyle="1" w:styleId="DHHSreportsubtitlecover">
    <w:name w:val="DHHS report subtitle cover"/>
    <w:uiPriority w:val="4"/>
    <w:rsid w:val="00A94D93"/>
    <w:pPr>
      <w:spacing w:after="120" w:line="380" w:lineRule="atLeast"/>
    </w:pPr>
    <w:rPr>
      <w:rFonts w:ascii="Arial" w:hAnsi="Arial"/>
      <w:bCs/>
      <w:color w:val="FFFFFF"/>
      <w:sz w:val="30"/>
      <w:szCs w:val="30"/>
      <w:lang w:eastAsia="en-US"/>
    </w:rPr>
  </w:style>
  <w:style w:type="character" w:customStyle="1" w:styleId="Heading5Char">
    <w:name w:val="Heading 5 Char"/>
    <w:link w:val="Heading5"/>
    <w:uiPriority w:val="9"/>
    <w:rsid w:val="00EE3633"/>
    <w:rPr>
      <w:rFonts w:ascii="Arial" w:eastAsia="MS Mincho" w:hAnsi="Arial"/>
      <w:b/>
      <w:bCs/>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9850FF"/>
    <w:pPr>
      <w:numPr>
        <w:numId w:val="2"/>
      </w:numPr>
      <w:spacing w:after="40"/>
    </w:pPr>
  </w:style>
  <w:style w:type="paragraph" w:customStyle="1" w:styleId="DHHSnumberloweralpha">
    <w:name w:val="DHHS number lower alpha"/>
    <w:basedOn w:val="DHHSbody"/>
    <w:uiPriority w:val="3"/>
    <w:rsid w:val="009850FF"/>
    <w:pPr>
      <w:numPr>
        <w:numId w:val="20"/>
      </w:numPr>
    </w:pPr>
  </w:style>
  <w:style w:type="paragraph" w:customStyle="1" w:styleId="DHHSnumberloweralphaindent">
    <w:name w:val="DHHS number lower alpha indent"/>
    <w:basedOn w:val="DHHSbody"/>
    <w:uiPriority w:val="3"/>
    <w:rsid w:val="009850FF"/>
    <w:pPr>
      <w:numPr>
        <w:ilvl w:val="1"/>
        <w:numId w:val="20"/>
      </w:numPr>
    </w:pPr>
  </w:style>
  <w:style w:type="paragraph" w:customStyle="1" w:styleId="DHHStablefigurenote">
    <w:name w:val="DHHS table/figure note"/>
    <w:uiPriority w:val="4"/>
    <w:rsid w:val="008A5B97"/>
    <w:pPr>
      <w:spacing w:before="60" w:after="60" w:line="240" w:lineRule="exact"/>
    </w:pPr>
    <w:rPr>
      <w:rFonts w:ascii="Arial" w:hAnsi="Arial"/>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9850FF"/>
    <w:pPr>
      <w:numPr>
        <w:ilvl w:val="1"/>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9850FF"/>
    <w:pPr>
      <w:numPr>
        <w:numId w:val="17"/>
      </w:numPr>
    </w:pPr>
  </w:style>
  <w:style w:type="paragraph" w:customStyle="1" w:styleId="DHHStablecolhead">
    <w:name w:val="DHHS table col head"/>
    <w:uiPriority w:val="3"/>
    <w:qFormat/>
    <w:rsid w:val="00CF5BC9"/>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TOCheadingreport">
    <w:name w:val="DHHS TOC heading report"/>
    <w:basedOn w:val="Heading1"/>
    <w:link w:val="DHHSTOCheadingreportChar"/>
    <w:uiPriority w:val="5"/>
    <w:rsid w:val="00E0374E"/>
    <w:pPr>
      <w:spacing w:before="0"/>
      <w:outlineLvl w:val="9"/>
    </w:pPr>
  </w:style>
  <w:style w:type="character" w:customStyle="1" w:styleId="DHHSTOCheadingreportChar">
    <w:name w:val="DHHS TOC heading report Char"/>
    <w:link w:val="DHHSTOCheadingreport"/>
    <w:uiPriority w:val="5"/>
    <w:rsid w:val="00E0374E"/>
    <w:rPr>
      <w:rFonts w:ascii="Arial" w:hAnsi="Arial"/>
      <w:bCs/>
      <w:color w:val="C5511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9850FF"/>
    <w:pPr>
      <w:numPr>
        <w:numId w:val="15"/>
      </w:numPr>
    </w:pPr>
  </w:style>
  <w:style w:type="paragraph" w:customStyle="1" w:styleId="DHHSnumberlowerroman">
    <w:name w:val="DHHS number lower roman"/>
    <w:basedOn w:val="DHHSbody"/>
    <w:uiPriority w:val="3"/>
    <w:rsid w:val="009850FF"/>
    <w:pPr>
      <w:numPr>
        <w:numId w:val="23"/>
      </w:numPr>
    </w:pPr>
  </w:style>
  <w:style w:type="paragraph" w:customStyle="1" w:styleId="DHHSnumberlowerromanindent">
    <w:name w:val="DHHS number lower roman indent"/>
    <w:basedOn w:val="DHHSbody"/>
    <w:uiPriority w:val="3"/>
    <w:rsid w:val="009850FF"/>
    <w:pPr>
      <w:numPr>
        <w:ilvl w:val="1"/>
        <w:numId w:val="23"/>
      </w:numPr>
    </w:pPr>
  </w:style>
  <w:style w:type="paragraph" w:customStyle="1" w:styleId="DHHSnumberdigitindent">
    <w:name w:val="DHHS number digit indent"/>
    <w:basedOn w:val="DHHSnumberloweralphaindent"/>
    <w:uiPriority w:val="3"/>
    <w:rsid w:val="009850FF"/>
    <w:pPr>
      <w:numPr>
        <w:numId w:val="17"/>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DHHSbodyafterbullets">
    <w:name w:val="DHHS body after bullets"/>
    <w:basedOn w:val="DHHSbody"/>
    <w:uiPriority w:val="11"/>
    <w:rsid w:val="008669BE"/>
    <w:pPr>
      <w:spacing w:before="120"/>
    </w:pPr>
  </w:style>
  <w:style w:type="paragraph" w:customStyle="1" w:styleId="DHHSbulletafternumbers1">
    <w:name w:val="DHHS bullet after numbers 1"/>
    <w:basedOn w:val="DHHSbody"/>
    <w:uiPriority w:val="4"/>
    <w:rsid w:val="009850FF"/>
    <w:pPr>
      <w:numPr>
        <w:ilvl w:val="2"/>
        <w:numId w:val="17"/>
      </w:numPr>
    </w:pPr>
  </w:style>
  <w:style w:type="paragraph" w:customStyle="1" w:styleId="DHHSbulletafternumbers2">
    <w:name w:val="DHHS bullet after numbers 2"/>
    <w:basedOn w:val="DHHSbody"/>
    <w:rsid w:val="009850FF"/>
    <w:pPr>
      <w:numPr>
        <w:ilvl w:val="3"/>
        <w:numId w:val="17"/>
      </w:numPr>
    </w:pPr>
  </w:style>
  <w:style w:type="paragraph" w:customStyle="1" w:styleId="DHHSquotebullet1">
    <w:name w:val="DHHS quote bullet 1"/>
    <w:basedOn w:val="DHHSquote"/>
    <w:rsid w:val="009850FF"/>
    <w:pPr>
      <w:numPr>
        <w:numId w:val="25"/>
      </w:numPr>
    </w:pPr>
  </w:style>
  <w:style w:type="paragraph" w:customStyle="1" w:styleId="DHHSquotebullet2">
    <w:name w:val="DHHS quote bullet 2"/>
    <w:basedOn w:val="DHHSquote"/>
    <w:rsid w:val="009850FF"/>
    <w:pPr>
      <w:numPr>
        <w:ilvl w:val="1"/>
        <w:numId w:val="25"/>
      </w:numPr>
    </w:pPr>
  </w:style>
  <w:style w:type="paragraph" w:customStyle="1" w:styleId="DHHStablebullet1">
    <w:name w:val="DHHS table bullet 1"/>
    <w:basedOn w:val="DHHStabletext"/>
    <w:uiPriority w:val="3"/>
    <w:qFormat/>
    <w:rsid w:val="009850FF"/>
    <w:pPr>
      <w:numPr>
        <w:numId w:val="27"/>
      </w:numPr>
    </w:pPr>
  </w:style>
  <w:style w:type="paragraph" w:customStyle="1" w:styleId="DHHStablebullet2">
    <w:name w:val="DHHS table bullet 2"/>
    <w:basedOn w:val="DHHStabletext"/>
    <w:uiPriority w:val="11"/>
    <w:rsid w:val="009850FF"/>
    <w:pPr>
      <w:numPr>
        <w:ilvl w:val="1"/>
        <w:numId w:val="27"/>
      </w:numPr>
    </w:pPr>
  </w:style>
  <w:style w:type="numbering" w:customStyle="1" w:styleId="ZZNumbersdigit">
    <w:name w:val="ZZ Numbers digit"/>
    <w:rsid w:val="009850FF"/>
    <w:pPr>
      <w:numPr>
        <w:numId w:val="17"/>
      </w:numPr>
    </w:pPr>
  </w:style>
  <w:style w:type="numbering" w:customStyle="1" w:styleId="ZZNumbersloweralpha">
    <w:name w:val="ZZ Numbers lower alpha"/>
    <w:basedOn w:val="NoList"/>
    <w:rsid w:val="009850FF"/>
    <w:pPr>
      <w:numPr>
        <w:numId w:val="20"/>
      </w:numPr>
    </w:pPr>
  </w:style>
  <w:style w:type="numbering" w:customStyle="1" w:styleId="ZZQuotebullets">
    <w:name w:val="ZZ Quote bullets"/>
    <w:basedOn w:val="ZZNumbersdigit"/>
    <w:rsid w:val="009850FF"/>
    <w:pPr>
      <w:numPr>
        <w:numId w:val="25"/>
      </w:numPr>
    </w:pPr>
  </w:style>
  <w:style w:type="numbering" w:customStyle="1" w:styleId="ZZNumberslowerroman">
    <w:name w:val="ZZ Numbers lower roman"/>
    <w:basedOn w:val="ZZQuotebullets"/>
    <w:rsid w:val="009850FF"/>
    <w:pPr>
      <w:numPr>
        <w:numId w:val="23"/>
      </w:numPr>
    </w:pPr>
  </w:style>
  <w:style w:type="numbering" w:customStyle="1" w:styleId="ZZTablebullets">
    <w:name w:val="ZZ Table bullets"/>
    <w:basedOn w:val="NoList"/>
    <w:rsid w:val="009850FF"/>
    <w:pPr>
      <w:numPr>
        <w:numId w:val="27"/>
      </w:numPr>
    </w:pPr>
  </w:style>
  <w:style w:type="character" w:customStyle="1" w:styleId="DHHSbodyChar">
    <w:name w:val="DHHS body Char"/>
    <w:basedOn w:val="DefaultParagraphFont"/>
    <w:link w:val="DHHSbody"/>
    <w:rsid w:val="006A18B6"/>
    <w:rPr>
      <w:rFonts w:ascii="Arial" w:eastAsia="Times" w:hAnsi="Arial"/>
      <w:lang w:eastAsia="en-US"/>
    </w:rPr>
  </w:style>
  <w:style w:type="paragraph" w:customStyle="1" w:styleId="DHHSreportmaintitlewhite">
    <w:name w:val="DHHS report main title white"/>
    <w:uiPriority w:val="4"/>
    <w:rsid w:val="0059286E"/>
    <w:pPr>
      <w:keepLines/>
      <w:spacing w:after="240" w:line="580" w:lineRule="atLeast"/>
    </w:pPr>
    <w:rPr>
      <w:rFonts w:ascii="Arial" w:hAnsi="Arial"/>
      <w:bCs/>
      <w:color w:val="FFFFFF"/>
      <w:spacing w:val="-20"/>
      <w:sz w:val="50"/>
      <w:szCs w:val="50"/>
      <w:lang w:eastAsia="en-US"/>
    </w:rPr>
  </w:style>
  <w:style w:type="character" w:styleId="UnresolvedMention">
    <w:name w:val="Unresolved Mention"/>
    <w:basedOn w:val="DefaultParagraphFont"/>
    <w:uiPriority w:val="99"/>
    <w:semiHidden/>
    <w:unhideWhenUsed/>
    <w:rsid w:val="0059286E"/>
    <w:rPr>
      <w:color w:val="605E5C"/>
      <w:shd w:val="clear" w:color="auto" w:fill="E1DFDD"/>
    </w:rPr>
  </w:style>
  <w:style w:type="paragraph" w:customStyle="1" w:styleId="DHHSreportsubtitlewhite">
    <w:name w:val="DHHS report subtitle white"/>
    <w:uiPriority w:val="4"/>
    <w:rsid w:val="0059286E"/>
    <w:pPr>
      <w:spacing w:after="120" w:line="380" w:lineRule="atLeast"/>
    </w:pPr>
    <w:rPr>
      <w:rFonts w:ascii="Arial" w:hAnsi="Arial"/>
      <w:bCs/>
      <w:color w:val="FFFFFF"/>
      <w:sz w:val="30"/>
      <w:szCs w:val="30"/>
      <w:lang w:eastAsia="en-US"/>
    </w:rPr>
  </w:style>
  <w:style w:type="paragraph" w:customStyle="1" w:styleId="Coverinstructions">
    <w:name w:val="Cover instructions"/>
    <w:rsid w:val="0059286E"/>
    <w:pPr>
      <w:spacing w:after="200" w:line="320" w:lineRule="atLeast"/>
    </w:pPr>
    <w:rPr>
      <w:rFonts w:ascii="Arial" w:hAnsi="Arial"/>
      <w:color w:val="FFFFFF"/>
      <w:sz w:val="24"/>
      <w:lang w:eastAsia="en-US"/>
    </w:rPr>
  </w:style>
  <w:style w:type="paragraph" w:customStyle="1" w:styleId="DHHSbullet1lastline">
    <w:name w:val="DHHS bullet 1 last line"/>
    <w:basedOn w:val="DHHSbullet1"/>
    <w:qFormat/>
    <w:rsid w:val="0059286E"/>
    <w:pPr>
      <w:numPr>
        <w:numId w:val="0"/>
      </w:numPr>
      <w:spacing w:after="120"/>
      <w:ind w:left="284" w:hanging="284"/>
    </w:pPr>
  </w:style>
  <w:style w:type="paragraph" w:customStyle="1" w:styleId="DHHSbullet2lastline">
    <w:name w:val="DHHS bullet 2 last line"/>
    <w:basedOn w:val="DHHSbullet2"/>
    <w:uiPriority w:val="2"/>
    <w:qFormat/>
    <w:rsid w:val="0059286E"/>
    <w:pPr>
      <w:numPr>
        <w:ilvl w:val="0"/>
        <w:numId w:val="0"/>
      </w:numPr>
      <w:spacing w:after="120"/>
      <w:ind w:left="567" w:hanging="283"/>
    </w:pPr>
  </w:style>
  <w:style w:type="paragraph" w:customStyle="1" w:styleId="DHHStablebullet">
    <w:name w:val="DHHS table bullet"/>
    <w:basedOn w:val="DHHStabletext"/>
    <w:uiPriority w:val="3"/>
    <w:qFormat/>
    <w:rsid w:val="0059286E"/>
    <w:pPr>
      <w:ind w:left="227" w:hanging="227"/>
    </w:pPr>
  </w:style>
  <w:style w:type="paragraph" w:customStyle="1" w:styleId="DHHSbulletindent">
    <w:name w:val="DHHS bullet indent"/>
    <w:basedOn w:val="DHHSbody"/>
    <w:uiPriority w:val="4"/>
    <w:rsid w:val="0059286E"/>
    <w:pPr>
      <w:spacing w:after="40"/>
      <w:ind w:left="680" w:hanging="283"/>
    </w:pPr>
  </w:style>
  <w:style w:type="paragraph" w:customStyle="1" w:styleId="DHHSbulletindentlastline">
    <w:name w:val="DHHS bullet indent last line"/>
    <w:basedOn w:val="DHHSbody"/>
    <w:uiPriority w:val="4"/>
    <w:rsid w:val="0059286E"/>
    <w:pPr>
      <w:ind w:left="680" w:hanging="283"/>
    </w:pPr>
  </w:style>
  <w:style w:type="numbering" w:customStyle="1" w:styleId="ZZNumbers">
    <w:name w:val="ZZ Numbers"/>
    <w:rsid w:val="0059286E"/>
    <w:pPr>
      <w:numPr>
        <w:numId w:val="39"/>
      </w:numPr>
    </w:pPr>
  </w:style>
  <w:style w:type="character" w:customStyle="1" w:styleId="HeaderChar">
    <w:name w:val="Header Char"/>
    <w:link w:val="Header"/>
    <w:uiPriority w:val="99"/>
    <w:locked/>
    <w:rsid w:val="0059286E"/>
    <w:rPr>
      <w:rFonts w:ascii="Arial" w:hAnsi="Arial" w:cs="Arial"/>
      <w:sz w:val="18"/>
      <w:szCs w:val="18"/>
      <w:lang w:eastAsia="en-US"/>
    </w:rPr>
  </w:style>
  <w:style w:type="character" w:customStyle="1" w:styleId="FooterChar">
    <w:name w:val="Footer Char"/>
    <w:link w:val="Footer"/>
    <w:uiPriority w:val="99"/>
    <w:locked/>
    <w:rsid w:val="0059286E"/>
    <w:rPr>
      <w:rFonts w:ascii="Arial" w:hAnsi="Arial" w:cs="Arial"/>
      <w:sz w:val="18"/>
      <w:szCs w:val="18"/>
      <w:lang w:eastAsia="en-US"/>
    </w:rPr>
  </w:style>
  <w:style w:type="paragraph" w:styleId="BalloonText">
    <w:name w:val="Balloon Text"/>
    <w:basedOn w:val="Normal"/>
    <w:link w:val="BalloonTextChar"/>
    <w:uiPriority w:val="99"/>
    <w:semiHidden/>
    <w:unhideWhenUsed/>
    <w:rsid w:val="0059286E"/>
    <w:pPr>
      <w:widowControl w:val="0"/>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59286E"/>
    <w:rPr>
      <w:rFonts w:ascii="Segoe UI" w:hAnsi="Segoe UI" w:cs="Segoe UI"/>
      <w:sz w:val="18"/>
      <w:szCs w:val="18"/>
      <w:lang w:val="en-US" w:eastAsia="en-US"/>
    </w:rPr>
  </w:style>
  <w:style w:type="paragraph" w:styleId="TOCHeading">
    <w:name w:val="TOC Heading"/>
    <w:basedOn w:val="Heading1"/>
    <w:next w:val="Normal"/>
    <w:uiPriority w:val="39"/>
    <w:unhideWhenUsed/>
    <w:qFormat/>
    <w:rsid w:val="0059286E"/>
    <w:pPr>
      <w:keepNext w:val="0"/>
      <w:keepLines w:val="0"/>
      <w:spacing w:before="18" w:after="0" w:line="259" w:lineRule="auto"/>
      <w:ind w:left="118" w:right="-20"/>
      <w:outlineLvl w:val="9"/>
    </w:pPr>
    <w:rPr>
      <w:rFonts w:cs="Arial"/>
      <w:b/>
      <w:color w:val="6788C5"/>
      <w:sz w:val="32"/>
      <w:szCs w:val="32"/>
      <w:lang w:val="en-US"/>
    </w:rPr>
  </w:style>
  <w:style w:type="paragraph" w:styleId="ListParagraph">
    <w:name w:val="List Paragraph"/>
    <w:basedOn w:val="Normal"/>
    <w:uiPriority w:val="34"/>
    <w:qFormat/>
    <w:rsid w:val="0059286E"/>
    <w:pPr>
      <w:widowControl w:val="0"/>
      <w:spacing w:after="200" w:line="276" w:lineRule="auto"/>
      <w:ind w:left="720"/>
      <w:contextualSpacing/>
    </w:pPr>
    <w:rPr>
      <w:rFonts w:ascii="Calibri" w:hAnsi="Calibri"/>
      <w:sz w:val="22"/>
      <w:szCs w:val="22"/>
      <w:lang w:val="en-US"/>
    </w:rPr>
  </w:style>
  <w:style w:type="character" w:customStyle="1" w:styleId="FootnoteTextChar">
    <w:name w:val="Footnote Text Char"/>
    <w:link w:val="FootnoteText"/>
    <w:uiPriority w:val="99"/>
    <w:locked/>
    <w:rsid w:val="0059286E"/>
    <w:rPr>
      <w:rFonts w:ascii="Arial" w:eastAsia="MS Gothic" w:hAnsi="Arial" w:cs="Arial"/>
      <w:sz w:val="16"/>
      <w:szCs w:val="16"/>
      <w:lang w:eastAsia="en-US"/>
    </w:rPr>
  </w:style>
  <w:style w:type="character" w:styleId="CommentReference">
    <w:name w:val="annotation reference"/>
    <w:uiPriority w:val="99"/>
    <w:semiHidden/>
    <w:unhideWhenUsed/>
    <w:rsid w:val="0059286E"/>
    <w:rPr>
      <w:rFonts w:cs="Times New Roman"/>
      <w:sz w:val="16"/>
      <w:szCs w:val="16"/>
    </w:rPr>
  </w:style>
  <w:style w:type="paragraph" w:styleId="CommentText">
    <w:name w:val="annotation text"/>
    <w:basedOn w:val="Normal"/>
    <w:link w:val="CommentTextChar"/>
    <w:uiPriority w:val="99"/>
    <w:semiHidden/>
    <w:unhideWhenUsed/>
    <w:rsid w:val="0059286E"/>
    <w:pPr>
      <w:widowControl w:val="0"/>
      <w:spacing w:after="200"/>
    </w:pPr>
    <w:rPr>
      <w:rFonts w:ascii="Calibri" w:hAnsi="Calibri"/>
      <w:lang w:val="en-US"/>
    </w:rPr>
  </w:style>
  <w:style w:type="character" w:customStyle="1" w:styleId="CommentTextChar">
    <w:name w:val="Comment Text Char"/>
    <w:basedOn w:val="DefaultParagraphFont"/>
    <w:link w:val="CommentText"/>
    <w:uiPriority w:val="99"/>
    <w:semiHidden/>
    <w:rsid w:val="0059286E"/>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rsid w:val="0059286E"/>
    <w:rPr>
      <w:b/>
      <w:bCs/>
    </w:rPr>
  </w:style>
  <w:style w:type="character" w:customStyle="1" w:styleId="CommentSubjectChar">
    <w:name w:val="Comment Subject Char"/>
    <w:basedOn w:val="CommentTextChar"/>
    <w:link w:val="CommentSubject"/>
    <w:uiPriority w:val="99"/>
    <w:semiHidden/>
    <w:rsid w:val="0059286E"/>
    <w:rPr>
      <w:rFonts w:ascii="Calibri" w:hAnsi="Calibri"/>
      <w:b/>
      <w:bCs/>
      <w:lang w:val="en-US" w:eastAsia="en-US"/>
    </w:rPr>
  </w:style>
  <w:style w:type="character" w:customStyle="1" w:styleId="UnresolvedMention1">
    <w:name w:val="Unresolved Mention1"/>
    <w:uiPriority w:val="99"/>
    <w:rsid w:val="0059286E"/>
    <w:rPr>
      <w:color w:val="808080"/>
      <w:shd w:val="clear" w:color="auto" w:fill="E6E6E6"/>
    </w:rPr>
  </w:style>
  <w:style w:type="character" w:styleId="Emphasis">
    <w:name w:val="Emphasis"/>
    <w:basedOn w:val="DefaultParagraphFont"/>
    <w:uiPriority w:val="20"/>
    <w:rsid w:val="0059286E"/>
    <w:rPr>
      <w:i/>
      <w:iCs/>
    </w:rPr>
  </w:style>
  <w:style w:type="paragraph" w:customStyle="1" w:styleId="DHHSintro">
    <w:name w:val="DHHS intro"/>
    <w:basedOn w:val="DHHSbody"/>
    <w:rsid w:val="00144B1D"/>
    <w:pPr>
      <w:spacing w:line="280" w:lineRule="atLeast"/>
    </w:pPr>
    <w:rPr>
      <w:color w:val="004C97"/>
      <w:sz w:val="24"/>
    </w:rPr>
  </w:style>
  <w:style w:type="paragraph" w:styleId="Revision">
    <w:name w:val="Revision"/>
    <w:hidden/>
    <w:uiPriority w:val="71"/>
    <w:rsid w:val="0059286E"/>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857175">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779517981">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lived-experience-engagement-team@dhhs.vic.gov.au" TargetMode="External"/><Relationship Id="rId26" Type="http://schemas.openxmlformats.org/officeDocument/2006/relationships/hyperlink" Target="https://services.dhhs.vic.gov.au/utility-relief-grant-scheme-non-mains"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vic.gov.au/guidelines-appointment-remuneration" TargetMode="External"/><Relationship Id="rId34" Type="http://schemas.openxmlformats.org/officeDocument/2006/relationships/hyperlink" Target="mailto:csf@tandemcarers.org.au" TargetMode="External"/><Relationship Id="rId42" Type="http://schemas.openxmlformats.org/officeDocument/2006/relationships/footer" Target="footer6.xml"/><Relationship Id="rId5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services.dhhs.vic.gov.au/utility-relief-grant-scheme" TargetMode="External"/><Relationship Id="rId33" Type="http://schemas.openxmlformats.org/officeDocument/2006/relationships/hyperlink" Target="mailto:csf@tandemcarers.org.au"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image" Target="media/image5.png"/><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ervices.dhhs.vic.gov.au/concessions-and-benefits" TargetMode="External"/><Relationship Id="rId32" Type="http://schemas.openxmlformats.org/officeDocument/2006/relationships/image" Target="media/image6.png"/><Relationship Id="rId37" Type="http://schemas.openxmlformats.org/officeDocument/2006/relationships/hyperlink" Target="mailto:csf@tandemcarers.org.au" TargetMode="Externa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hyperlink" Target="http://www.dhs.vic.gov.au/for-individuals" TargetMode="External"/><Relationship Id="rId36" Type="http://schemas.openxmlformats.org/officeDocument/2006/relationships/hyperlink" Target="mailto:csf@tandemcarers.org.au" TargetMode="External"/><Relationship Id="rId10" Type="http://schemas.openxmlformats.org/officeDocument/2006/relationships/endnotes" Target="endnotes.xml"/><Relationship Id="rId19" Type="http://schemas.openxmlformats.org/officeDocument/2006/relationships/hyperlink" Target="https://www2.health.vic.gov.au/mental-health/working-with-consumers-and-carers/financial-support-consumers-carers" TargetMode="External"/><Relationship Id="rId31" Type="http://schemas.openxmlformats.org/officeDocument/2006/relationships/hyperlink" Target="https://carersupportfund.tandemcarers.org.au/dotnetnuk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yperlink" Target="https://www2.health.vic.gov.au/about/publications/policiesandguidelines/Psychiatric-Illness-and-Intellectual-Disabilities-Donations-Trust-Fund-PIIDDTF-general-guidelines" TargetMode="External"/><Relationship Id="rId30" Type="http://schemas.openxmlformats.org/officeDocument/2006/relationships/hyperlink" Target="https://carersupportfund.tandemcarers.org.au/dotnetnuke/" TargetMode="External"/><Relationship Id="rId35" Type="http://schemas.openxmlformats.org/officeDocument/2006/relationships/hyperlink" Target="http://www.tandemcarers.org.au"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20Davies\Downloads\DHHS%20Report%2003%20Blue%2029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7BACA3E250E340ABAD386EBA97AF62" ma:contentTypeVersion="12" ma:contentTypeDescription="Create a new document." ma:contentTypeScope="" ma:versionID="cdd412688a71ab3c3f5688aaf861eb1d">
  <xsd:schema xmlns:xsd="http://www.w3.org/2001/XMLSchema" xmlns:xs="http://www.w3.org/2001/XMLSchema" xmlns:p="http://schemas.microsoft.com/office/2006/metadata/properties" xmlns:ns3="2aa7ac62-a463-4f30-bde1-dd67f7cba767" xmlns:ns4="96916ec1-46d2-4c73-9d91-20aa0d3546e4" targetNamespace="http://schemas.microsoft.com/office/2006/metadata/properties" ma:root="true" ma:fieldsID="8a4b94348314730cfb61bc053080e60c" ns3:_="" ns4:_="">
    <xsd:import namespace="2aa7ac62-a463-4f30-bde1-dd67f7cba767"/>
    <xsd:import namespace="96916ec1-46d2-4c73-9d91-20aa0d3546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7ac62-a463-4f30-bde1-dd67f7cba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916ec1-46d2-4c73-9d91-20aa0d3546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1DA0-73AE-409D-99DB-1EB09317C8CD}">
  <ds:schemaRefs>
    <ds:schemaRef ds:uri="http://schemas.microsoft.com/sharepoint/v3/contenttype/forms"/>
  </ds:schemaRefs>
</ds:datastoreItem>
</file>

<file path=customXml/itemProps2.xml><?xml version="1.0" encoding="utf-8"?>
<ds:datastoreItem xmlns:ds="http://schemas.openxmlformats.org/officeDocument/2006/customXml" ds:itemID="{984B4857-D728-411B-AA99-CAFA346CE91A}">
  <ds:schemaRefs>
    <ds:schemaRef ds:uri="http://purl.org/dc/elements/1.1/"/>
    <ds:schemaRef ds:uri="http://schemas.microsoft.com/office/2006/metadata/properties"/>
    <ds:schemaRef ds:uri="2aa7ac62-a463-4f30-bde1-dd67f7cba767"/>
    <ds:schemaRef ds:uri="http://purl.org/dc/terms/"/>
    <ds:schemaRef ds:uri="96916ec1-46d2-4c73-9d91-20aa0d3546e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C1E71A1-BB1D-4731-837C-6DD763641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7ac62-a463-4f30-bde1-dd67f7cba767"/>
    <ds:schemaRef ds:uri="96916ec1-46d2-4c73-9d91-20aa0d354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50695-99AE-4656-8A58-8269FA81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03 Blue 2945.dotx</Template>
  <TotalTime>0</TotalTime>
  <Pages>24</Pages>
  <Words>4209</Words>
  <Characters>27973</Characters>
  <Application>Microsoft Office Word</Application>
  <DocSecurity>4</DocSecurity>
  <Lines>233</Lines>
  <Paragraphs>64</Paragraphs>
  <ScaleCrop>false</ScaleCrop>
  <HeadingPairs>
    <vt:vector size="2" baseType="variant">
      <vt:variant>
        <vt:lpstr>Title</vt:lpstr>
      </vt:variant>
      <vt:variant>
        <vt:i4>1</vt:i4>
      </vt:variant>
    </vt:vector>
  </HeadingPairs>
  <TitlesOfParts>
    <vt:vector size="1" baseType="lpstr">
      <vt:lpstr>Mental Health Carer Support Fund guidelines</vt:lpstr>
    </vt:vector>
  </TitlesOfParts>
  <Company>Department of Health and Human Services</Company>
  <LinksUpToDate>false</LinksUpToDate>
  <CharactersWithSpaces>32118</CharactersWithSpaces>
  <SharedDoc>false</SharedDoc>
  <HyperlinkBase/>
  <HLinks>
    <vt:vector size="66" baseType="variant">
      <vt:variant>
        <vt:i4>7864376</vt:i4>
      </vt:variant>
      <vt:variant>
        <vt:i4>54</vt:i4>
      </vt:variant>
      <vt:variant>
        <vt:i4>0</vt:i4>
      </vt:variant>
      <vt:variant>
        <vt:i4>5</vt:i4>
      </vt:variant>
      <vt:variant>
        <vt:lpwstr>https://intranet.dhhs.vic.gov.au/templates-our-visual-style</vt:lpwstr>
      </vt:variant>
      <vt:variant>
        <vt:lpwstr/>
      </vt:variant>
      <vt:variant>
        <vt:i4>1048626</vt:i4>
      </vt:variant>
      <vt:variant>
        <vt:i4>47</vt:i4>
      </vt:variant>
      <vt:variant>
        <vt:i4>0</vt:i4>
      </vt:variant>
      <vt:variant>
        <vt:i4>5</vt:i4>
      </vt:variant>
      <vt:variant>
        <vt:lpwstr/>
      </vt:variant>
      <vt:variant>
        <vt:lpwstr>_Toc442704404</vt:lpwstr>
      </vt:variant>
      <vt:variant>
        <vt:i4>1048626</vt:i4>
      </vt:variant>
      <vt:variant>
        <vt:i4>41</vt:i4>
      </vt:variant>
      <vt:variant>
        <vt:i4>0</vt:i4>
      </vt:variant>
      <vt:variant>
        <vt:i4>5</vt:i4>
      </vt:variant>
      <vt:variant>
        <vt:lpwstr/>
      </vt:variant>
      <vt:variant>
        <vt:lpwstr>_Toc442704403</vt:lpwstr>
      </vt:variant>
      <vt:variant>
        <vt:i4>1048626</vt:i4>
      </vt:variant>
      <vt:variant>
        <vt:i4>35</vt:i4>
      </vt:variant>
      <vt:variant>
        <vt:i4>0</vt:i4>
      </vt:variant>
      <vt:variant>
        <vt:i4>5</vt:i4>
      </vt:variant>
      <vt:variant>
        <vt:lpwstr/>
      </vt:variant>
      <vt:variant>
        <vt:lpwstr>_Toc442704402</vt:lpwstr>
      </vt:variant>
      <vt:variant>
        <vt:i4>1048626</vt:i4>
      </vt:variant>
      <vt:variant>
        <vt:i4>29</vt:i4>
      </vt:variant>
      <vt:variant>
        <vt:i4>0</vt:i4>
      </vt:variant>
      <vt:variant>
        <vt:i4>5</vt:i4>
      </vt:variant>
      <vt:variant>
        <vt:lpwstr/>
      </vt:variant>
      <vt:variant>
        <vt:lpwstr>_Toc442704401</vt:lpwstr>
      </vt:variant>
      <vt:variant>
        <vt:i4>1048626</vt:i4>
      </vt:variant>
      <vt:variant>
        <vt:i4>23</vt:i4>
      </vt:variant>
      <vt:variant>
        <vt:i4>0</vt:i4>
      </vt:variant>
      <vt:variant>
        <vt:i4>5</vt:i4>
      </vt:variant>
      <vt:variant>
        <vt:lpwstr/>
      </vt:variant>
      <vt:variant>
        <vt:lpwstr>_Toc442704400</vt:lpwstr>
      </vt:variant>
      <vt:variant>
        <vt:i4>1638453</vt:i4>
      </vt:variant>
      <vt:variant>
        <vt:i4>17</vt:i4>
      </vt:variant>
      <vt:variant>
        <vt:i4>0</vt:i4>
      </vt:variant>
      <vt:variant>
        <vt:i4>5</vt:i4>
      </vt:variant>
      <vt:variant>
        <vt:lpwstr/>
      </vt:variant>
      <vt:variant>
        <vt:lpwstr>_Toc442704399</vt:lpwstr>
      </vt:variant>
      <vt:variant>
        <vt:i4>1638453</vt:i4>
      </vt:variant>
      <vt:variant>
        <vt:i4>11</vt:i4>
      </vt:variant>
      <vt:variant>
        <vt:i4>0</vt:i4>
      </vt:variant>
      <vt:variant>
        <vt:i4>5</vt:i4>
      </vt:variant>
      <vt:variant>
        <vt:lpwstr/>
      </vt:variant>
      <vt:variant>
        <vt:lpwstr>_Toc442704398</vt:lpwstr>
      </vt:variant>
      <vt:variant>
        <vt:i4>7602296</vt:i4>
      </vt:variant>
      <vt:variant>
        <vt:i4>6</vt:i4>
      </vt:variant>
      <vt:variant>
        <vt:i4>0</vt:i4>
      </vt:variant>
      <vt:variant>
        <vt:i4>5</vt:i4>
      </vt:variant>
      <vt:variant>
        <vt:lpwstr>https://intranet.dhhs.vic.gov.au/graphic-design-process</vt:lpwstr>
      </vt:variant>
      <vt:variant>
        <vt:lpwstr/>
      </vt:variant>
      <vt:variant>
        <vt:i4>7209064</vt:i4>
      </vt:variant>
      <vt:variant>
        <vt:i4>3</vt:i4>
      </vt:variant>
      <vt:variant>
        <vt:i4>0</vt:i4>
      </vt:variant>
      <vt:variant>
        <vt:i4>5</vt:i4>
      </vt:variant>
      <vt:variant>
        <vt:lpwstr>https://intranet.dhhs.vic.gov.au/print-and-distribute-communications-materials</vt:lpwstr>
      </vt:variant>
      <vt:variant>
        <vt:lpwstr/>
      </vt:variant>
      <vt:variant>
        <vt:i4>7143443</vt:i4>
      </vt:variant>
      <vt:variant>
        <vt:i4>0</vt:i4>
      </vt:variant>
      <vt:variant>
        <vt:i4>0</vt:i4>
      </vt:variant>
      <vt:variant>
        <vt:i4>5</vt:i4>
      </vt:variant>
      <vt:variant>
        <vt:lpwstr>http://library.intranet.vic.gov.au/client/en_AU/vglsweb-depi/?rm=ISBN0%7C%7C%7C1%7C%7C%7C0%7C%7C%7Ctrue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Carer Support Fund guidelines</dc:title>
  <dc:subject>Mental Health Carer Support Fund guidelines</dc:subject>
  <dc:creator>Lived Experience Engagement, Health and Wellbeing Division</dc:creator>
  <cp:keywords>mental health, Carer Support Fund, victoria, tandem</cp:keywords>
  <cp:lastModifiedBy>Cate Bourke (DHHS)</cp:lastModifiedBy>
  <cp:revision>2</cp:revision>
  <cp:lastPrinted>2017-07-07T00:32:00Z</cp:lastPrinted>
  <dcterms:created xsi:type="dcterms:W3CDTF">2020-09-25T06:51:00Z</dcterms:created>
  <dcterms:modified xsi:type="dcterms:W3CDTF">2020-09-25T06:51:00Z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0x010100B67BACA3E250E340ABAD386EBA97AF62</vt:lpwstr>
  </property>
  <property fmtid="{D5CDD505-2E9C-101B-9397-08002B2CF9AE}" pid="4" name="MSIP_Label_efdf5488-3066-4b6c-8fea-9472b8a1f34c_Enabled">
    <vt:lpwstr>True</vt:lpwstr>
  </property>
  <property fmtid="{D5CDD505-2E9C-101B-9397-08002B2CF9AE}" pid="5" name="MSIP_Label_efdf5488-3066-4b6c-8fea-9472b8a1f34c_SiteId">
    <vt:lpwstr>c0e0601f-0fac-449c-9c88-a104c4eb9f28</vt:lpwstr>
  </property>
  <property fmtid="{D5CDD505-2E9C-101B-9397-08002B2CF9AE}" pid="6" name="MSIP_Label_efdf5488-3066-4b6c-8fea-9472b8a1f34c_Owner">
    <vt:lpwstr>Sarah.Alexander@dhhs.vic.gov.au</vt:lpwstr>
  </property>
  <property fmtid="{D5CDD505-2E9C-101B-9397-08002B2CF9AE}" pid="7" name="MSIP_Label_efdf5488-3066-4b6c-8fea-9472b8a1f34c_SetDate">
    <vt:lpwstr>2020-08-21T00:20:37.2388922Z</vt:lpwstr>
  </property>
  <property fmtid="{D5CDD505-2E9C-101B-9397-08002B2CF9AE}" pid="8" name="MSIP_Label_efdf5488-3066-4b6c-8fea-9472b8a1f34c_Name">
    <vt:lpwstr>DO NOT MARK</vt:lpwstr>
  </property>
  <property fmtid="{D5CDD505-2E9C-101B-9397-08002B2CF9AE}" pid="9" name="MSIP_Label_efdf5488-3066-4b6c-8fea-9472b8a1f34c_Application">
    <vt:lpwstr>Microsoft Azure Information Protection</vt:lpwstr>
  </property>
  <property fmtid="{D5CDD505-2E9C-101B-9397-08002B2CF9AE}" pid="10" name="MSIP_Label_efdf5488-3066-4b6c-8fea-9472b8a1f34c_ActionId">
    <vt:lpwstr>9e84dd03-8f01-49d9-93d2-ea8a0be93be9</vt:lpwstr>
  </property>
  <property fmtid="{D5CDD505-2E9C-101B-9397-08002B2CF9AE}" pid="11" name="MSIP_Label_efdf5488-3066-4b6c-8fea-9472b8a1f34c_Extended_MSFT_Method">
    <vt:lpwstr>Manual</vt:lpwstr>
  </property>
  <property fmtid="{D5CDD505-2E9C-101B-9397-08002B2CF9AE}" pid="12" name="Sensitivity">
    <vt:lpwstr>DO NOT MARK</vt:lpwstr>
  </property>
</Properties>
</file>