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E0" w:rsidRPr="004C6EEE" w:rsidRDefault="00FC7EE0" w:rsidP="00FC7EE0">
      <w:pPr>
        <w:pStyle w:val="Spacerparatopoffirstpage"/>
      </w:pPr>
      <w:r>
        <w:rPr>
          <w:lang w:eastAsia="en-AU"/>
        </w:rPr>
        <w:drawing>
          <wp:anchor distT="0" distB="0" distL="114300" distR="114300" simplePos="0" relativeHeight="251659264" behindDoc="1" locked="1" layoutInCell="0" allowOverlap="1" wp14:anchorId="03F92F41" wp14:editId="099687C4">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EE0" w:rsidRPr="004C6EEE" w:rsidRDefault="00FC7EE0" w:rsidP="00FC7EE0">
      <w:pPr>
        <w:pStyle w:val="Sectionbreakfirstpage"/>
        <w:sectPr w:rsidR="00FC7EE0" w:rsidRPr="004C6EEE" w:rsidSect="00AD784C">
          <w:footerReference w:type="default" r:id="rId10"/>
          <w:footerReference w:type="first" r:id="rId11"/>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240"/>
      </w:tblGrid>
      <w:tr w:rsidR="00FC7EE0" w:rsidTr="00022E86">
        <w:trPr>
          <w:trHeight w:val="1026"/>
        </w:trPr>
        <w:tc>
          <w:tcPr>
            <w:tcW w:w="8240" w:type="dxa"/>
            <w:shd w:val="clear" w:color="auto" w:fill="auto"/>
            <w:vAlign w:val="bottom"/>
          </w:tcPr>
          <w:p w:rsidR="00FC7EE0" w:rsidRPr="00161AA0" w:rsidRDefault="00131320" w:rsidP="00DE603E">
            <w:pPr>
              <w:pStyle w:val="DHHSmainheading"/>
            </w:pPr>
            <w:r>
              <w:lastRenderedPageBreak/>
              <w:t>Dual Diagnosis Residential R</w:t>
            </w:r>
            <w:r w:rsidR="0010342A">
              <w:t>ehabilitation</w:t>
            </w:r>
          </w:p>
        </w:tc>
      </w:tr>
      <w:tr w:rsidR="00FC7EE0" w:rsidTr="00022E86">
        <w:trPr>
          <w:trHeight w:hRule="exact" w:val="954"/>
        </w:trPr>
        <w:tc>
          <w:tcPr>
            <w:tcW w:w="8240" w:type="dxa"/>
            <w:shd w:val="clear" w:color="auto" w:fill="auto"/>
            <w:tcMar>
              <w:top w:w="170" w:type="dxa"/>
              <w:bottom w:w="510" w:type="dxa"/>
            </w:tcMar>
          </w:tcPr>
          <w:p w:rsidR="00FC7EE0" w:rsidRPr="00AD784C" w:rsidRDefault="0010342A" w:rsidP="00E52F9B">
            <w:pPr>
              <w:pStyle w:val="DHHSmainsubheading"/>
              <w:rPr>
                <w:szCs w:val="28"/>
              </w:rPr>
            </w:pPr>
            <w:r>
              <w:rPr>
                <w:szCs w:val="28"/>
              </w:rPr>
              <w:t xml:space="preserve">Information about this </w:t>
            </w:r>
            <w:r w:rsidR="00AB30D2">
              <w:rPr>
                <w:szCs w:val="28"/>
              </w:rPr>
              <w:t xml:space="preserve">new </w:t>
            </w:r>
            <w:r>
              <w:rPr>
                <w:szCs w:val="28"/>
              </w:rPr>
              <w:t>specialist treatment option</w:t>
            </w:r>
          </w:p>
        </w:tc>
      </w:tr>
    </w:tbl>
    <w:p w:rsidR="007173CA" w:rsidRDefault="007173CA" w:rsidP="007173CA">
      <w:pPr>
        <w:pStyle w:val="DHHSbody"/>
      </w:pPr>
    </w:p>
    <w:p w:rsidR="007173CA" w:rsidRDefault="007173CA" w:rsidP="007173CA">
      <w:pPr>
        <w:pStyle w:val="DHHSbody"/>
        <w:sectPr w:rsidR="007173C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pPr>
      <w:bookmarkStart w:id="0" w:name="_Toc440566508"/>
    </w:p>
    <w:bookmarkEnd w:id="0"/>
    <w:p w:rsidR="00E076CA" w:rsidRDefault="00E076CA" w:rsidP="00E076CA">
      <w:pPr>
        <w:pStyle w:val="Heading2"/>
        <w:spacing w:before="0"/>
      </w:pPr>
      <w:r>
        <w:lastRenderedPageBreak/>
        <w:t xml:space="preserve">The Victorian </w:t>
      </w:r>
      <w:r w:rsidR="008A1FEB">
        <w:t xml:space="preserve">drug </w:t>
      </w:r>
      <w:r>
        <w:t>treatment system</w:t>
      </w:r>
    </w:p>
    <w:p w:rsidR="00AB30D2" w:rsidRPr="00C10A99" w:rsidRDefault="00AB30D2" w:rsidP="00AB30D2">
      <w:pPr>
        <w:pStyle w:val="DHHSbody"/>
      </w:pPr>
      <w:r>
        <w:t xml:space="preserve">Alcohol and other drug problems are complex, affecting not just individuals but their families, their friends and their communities.  </w:t>
      </w:r>
    </w:p>
    <w:p w:rsidR="00AB30D2" w:rsidRPr="007A3160" w:rsidRDefault="00AB30D2" w:rsidP="00AB30D2">
      <w:pPr>
        <w:pStyle w:val="DHHSbody"/>
        <w:rPr>
          <w:color w:val="000000" w:themeColor="text1"/>
        </w:rPr>
      </w:pPr>
      <w:r w:rsidRPr="007A3160">
        <w:rPr>
          <w:color w:val="000000" w:themeColor="text1"/>
        </w:rPr>
        <w:t xml:space="preserve">People accessing </w:t>
      </w:r>
      <w:r>
        <w:rPr>
          <w:color w:val="000000" w:themeColor="text1"/>
        </w:rPr>
        <w:t xml:space="preserve">drug treatment in Victoria </w:t>
      </w:r>
      <w:r w:rsidRPr="007A3160">
        <w:rPr>
          <w:color w:val="000000" w:themeColor="text1"/>
        </w:rPr>
        <w:t xml:space="preserve">go through intake, </w:t>
      </w:r>
      <w:r>
        <w:rPr>
          <w:color w:val="000000" w:themeColor="text1"/>
        </w:rPr>
        <w:t xml:space="preserve">comprehensive </w:t>
      </w:r>
      <w:r w:rsidRPr="007A3160">
        <w:rPr>
          <w:color w:val="000000" w:themeColor="text1"/>
        </w:rPr>
        <w:t xml:space="preserve">assessment and treatment as part of their recovery journey. </w:t>
      </w:r>
    </w:p>
    <w:p w:rsidR="00AB30D2" w:rsidRPr="00663395" w:rsidRDefault="00AB30D2" w:rsidP="00AB30D2">
      <w:pPr>
        <w:pStyle w:val="DHHSbody"/>
        <w:rPr>
          <w:color w:val="000000" w:themeColor="text1"/>
        </w:rPr>
      </w:pPr>
      <w:r>
        <w:rPr>
          <w:color w:val="000000" w:themeColor="text1"/>
        </w:rPr>
        <w:t>A</w:t>
      </w:r>
      <w:r w:rsidRPr="007A3160">
        <w:rPr>
          <w:color w:val="000000" w:themeColor="text1"/>
        </w:rPr>
        <w:t xml:space="preserve"> range of </w:t>
      </w:r>
      <w:r>
        <w:rPr>
          <w:color w:val="000000" w:themeColor="text1"/>
        </w:rPr>
        <w:t xml:space="preserve">state-funded </w:t>
      </w:r>
      <w:r w:rsidRPr="007A3160">
        <w:rPr>
          <w:color w:val="000000" w:themeColor="text1"/>
        </w:rPr>
        <w:t>community-based and residential treatment options</w:t>
      </w:r>
      <w:r>
        <w:rPr>
          <w:color w:val="000000" w:themeColor="text1"/>
        </w:rPr>
        <w:t xml:space="preserve"> are available, including</w:t>
      </w:r>
      <w:r w:rsidRPr="007A3160">
        <w:rPr>
          <w:color w:val="000000" w:themeColor="text1"/>
        </w:rPr>
        <w:t xml:space="preserve"> counselling, withdrawal, rehabilitation, care and recovery coordination and pharmacotherapy.</w:t>
      </w:r>
    </w:p>
    <w:p w:rsidR="00E076CA" w:rsidRPr="00E076CA" w:rsidRDefault="00E076CA" w:rsidP="00E076CA">
      <w:pPr>
        <w:pStyle w:val="Heading2"/>
      </w:pPr>
      <w:r w:rsidRPr="00E076CA">
        <w:t>What is dual diagnosis?</w:t>
      </w:r>
    </w:p>
    <w:p w:rsidR="00531176" w:rsidRDefault="00531176" w:rsidP="00531176">
      <w:pPr>
        <w:pStyle w:val="DHHSbody"/>
      </w:pPr>
      <w:r>
        <w:t xml:space="preserve">Dual diagnosis </w:t>
      </w:r>
      <w:r w:rsidRPr="00CA521A">
        <w:t xml:space="preserve">refers to the relationships between a person’s mental health and </w:t>
      </w:r>
      <w:r>
        <w:t>alcohol and other drug</w:t>
      </w:r>
      <w:r w:rsidRPr="00CA521A">
        <w:t xml:space="preserve"> use concerns</w:t>
      </w:r>
      <w:r w:rsidR="00CD4FB4">
        <w:t xml:space="preserve"> (see figure below)</w:t>
      </w:r>
      <w:r w:rsidR="002C1ADD">
        <w:t>.</w:t>
      </w:r>
      <w:r w:rsidRPr="00CA521A">
        <w:t xml:space="preserve"> Examples may include:</w:t>
      </w:r>
    </w:p>
    <w:p w:rsidR="00531176" w:rsidRDefault="00531176" w:rsidP="00531176">
      <w:pPr>
        <w:pStyle w:val="DHHSbullet1"/>
      </w:pPr>
      <w:r>
        <w:t>a mental health problem or disorder leading to or associated with problematic substance use</w:t>
      </w:r>
    </w:p>
    <w:p w:rsidR="00E076CA" w:rsidRDefault="00531176" w:rsidP="00531176">
      <w:pPr>
        <w:pStyle w:val="DHHSbullet1lastline"/>
      </w:pPr>
      <w:r>
        <w:t>a substance use concern or disorder leading to or associated with a mental health concern or disorder</w:t>
      </w:r>
      <w:r w:rsidR="00AB30D2">
        <w:t>.</w:t>
      </w:r>
    </w:p>
    <w:p w:rsidR="005F778C" w:rsidRDefault="005A6F06" w:rsidP="005F778C">
      <w:pPr>
        <w:pStyle w:val="DHHSBody0"/>
      </w:pPr>
      <w:r>
        <w:t>Importantly, p</w:t>
      </w:r>
      <w:r w:rsidRPr="006011E4">
        <w:t xml:space="preserve">eople who experience </w:t>
      </w:r>
      <w:r>
        <w:t>dual diagnosis</w:t>
      </w:r>
      <w:r w:rsidRPr="006011E4">
        <w:t xml:space="preserve"> are affected in different ways and t</w:t>
      </w:r>
      <w:r>
        <w:t xml:space="preserve">herefore have individual needs. </w:t>
      </w:r>
      <w:r w:rsidR="005D625A" w:rsidRPr="00E747BC">
        <w:t>Dual diagnosis adds complexity to assessment, diagnosis, treatment and recovery, and can be associated with increased incidences of relapse.</w:t>
      </w:r>
    </w:p>
    <w:p w:rsidR="007C1BB0" w:rsidRDefault="009E2280" w:rsidP="005F778C">
      <w:pPr>
        <w:pStyle w:val="DHHSBody0"/>
      </w:pPr>
      <w:r>
        <w:rPr>
          <w:noProof/>
          <w:lang w:eastAsia="en-AU"/>
        </w:rPr>
        <w:lastRenderedPageBreak/>
        <mc:AlternateContent>
          <mc:Choice Requires="wps">
            <w:drawing>
              <wp:inline distT="0" distB="0" distL="0" distR="0" wp14:anchorId="6EE311B0" wp14:editId="182A8294">
                <wp:extent cx="3276600" cy="2924175"/>
                <wp:effectExtent l="0" t="0" r="19050" b="28575"/>
                <wp:docPr id="23" name="Rounded Rectangle 23"/>
                <wp:cNvGraphicFramePr/>
                <a:graphic xmlns:a="http://schemas.openxmlformats.org/drawingml/2006/main">
                  <a:graphicData uri="http://schemas.microsoft.com/office/word/2010/wordprocessingShape">
                    <wps:wsp>
                      <wps:cNvSpPr/>
                      <wps:spPr>
                        <a:xfrm>
                          <a:off x="0" y="0"/>
                          <a:ext cx="3276600" cy="2924175"/>
                        </a:xfrm>
                        <a:prstGeom prst="roundRect">
                          <a:avLst/>
                        </a:prstGeom>
                        <a:solidFill>
                          <a:srgbClr val="F1E3F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576F" w:rsidRDefault="009E2280" w:rsidP="00A5576F">
                            <w:pPr>
                              <w:pStyle w:val="DHHSbullet1lastline"/>
                              <w:numPr>
                                <w:ilvl w:val="0"/>
                                <w:numId w:val="0"/>
                              </w:numPr>
                              <w:rPr>
                                <w:color w:val="000000" w:themeColor="text1"/>
                              </w:rPr>
                            </w:pPr>
                            <w:r w:rsidRPr="001C3FF2">
                              <w:rPr>
                                <w:color w:val="000000" w:themeColor="text1"/>
                              </w:rPr>
                              <w:t xml:space="preserve">The Victorian Government is </w:t>
                            </w:r>
                            <w:r>
                              <w:rPr>
                                <w:color w:val="000000" w:themeColor="text1"/>
                              </w:rPr>
                              <w:t>rapidly expanding access to</w:t>
                            </w:r>
                            <w:r w:rsidRPr="001C3FF2">
                              <w:rPr>
                                <w:color w:val="000000" w:themeColor="text1"/>
                              </w:rPr>
                              <w:t xml:space="preserve"> res</w:t>
                            </w:r>
                            <w:r>
                              <w:rPr>
                                <w:color w:val="000000" w:themeColor="text1"/>
                              </w:rPr>
                              <w:t xml:space="preserve">idential rehabilitation services across the state to create more </w:t>
                            </w:r>
                            <w:r w:rsidRPr="00FF5343">
                              <w:rPr>
                                <w:color w:val="000000" w:themeColor="text1"/>
                              </w:rPr>
                              <w:t xml:space="preserve">treatment spots, reduce pressure on the system, and improve access to treatment for people who may struggle to attend community-based services. </w:t>
                            </w:r>
                          </w:p>
                          <w:p w:rsidR="00A5576F" w:rsidRDefault="009E2280" w:rsidP="00A5576F">
                            <w:pPr>
                              <w:pStyle w:val="DHHSbullet1lastline"/>
                              <w:numPr>
                                <w:ilvl w:val="0"/>
                                <w:numId w:val="0"/>
                              </w:numPr>
                              <w:rPr>
                                <w:noProof/>
                                <w:lang w:eastAsia="en-AU"/>
                              </w:rPr>
                            </w:pPr>
                            <w:r w:rsidRPr="00890223">
                              <w:rPr>
                                <w:color w:val="000000" w:themeColor="text1"/>
                              </w:rPr>
                              <w:t>The expansion include</w:t>
                            </w:r>
                            <w:r>
                              <w:rPr>
                                <w:color w:val="000000" w:themeColor="text1"/>
                              </w:rPr>
                              <w:t>s</w:t>
                            </w:r>
                            <w:r w:rsidRPr="00890223">
                              <w:rPr>
                                <w:color w:val="000000" w:themeColor="text1"/>
                              </w:rPr>
                              <w:t xml:space="preserve"> establishing a </w:t>
                            </w:r>
                            <w:r>
                              <w:rPr>
                                <w:color w:val="000000" w:themeColor="text1"/>
                              </w:rPr>
                              <w:t xml:space="preserve">specialist </w:t>
                            </w:r>
                            <w:r w:rsidRPr="00890223">
                              <w:rPr>
                                <w:color w:val="000000" w:themeColor="text1"/>
                              </w:rPr>
                              <w:t>service for people with co-occurring alcohol and other drug and mental health needs (dual diagnosis), to be delivered at two new reside</w:t>
                            </w:r>
                            <w:r>
                              <w:rPr>
                                <w:color w:val="000000" w:themeColor="text1"/>
                              </w:rPr>
                              <w:t>ntial rehabilitation facilities</w:t>
                            </w:r>
                            <w:r w:rsidR="00231B90">
                              <w:rPr>
                                <w:color w:val="000000" w:themeColor="text1"/>
                              </w:rPr>
                              <w:t>.</w:t>
                            </w:r>
                          </w:p>
                          <w:p w:rsidR="009E2280" w:rsidRPr="00723327" w:rsidRDefault="009E2280" w:rsidP="00A5576F">
                            <w:pPr>
                              <w:pStyle w:val="DHHSbullet1lastline"/>
                              <w:numPr>
                                <w:ilvl w:val="0"/>
                                <w:numId w:val="0"/>
                              </w:numPr>
                              <w:rPr>
                                <w:color w:val="000000" w:themeColor="text1"/>
                              </w:rPr>
                            </w:pPr>
                            <w:r>
                              <w:rPr>
                                <w:color w:val="000000" w:themeColor="text1"/>
                              </w:rPr>
                              <w:t>Read on to find out how this service differs to standard residential rehabilitation and how you can make a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3" o:spid="_x0000_s1026" style="width:258pt;height:23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mOtwIAANIFAAAOAAAAZHJzL2Uyb0RvYy54bWysVEtv2zAMvg/YfxB0X/1o0kdQpwjaZRhQ&#10;tEXboWdFlhIDsqhJSuzs14+SH0m7YodhOSiUSX4kP5G8um5rRXbCugp0QbOTlBKhOZSVXhf0x8vy&#10;ywUlzjNdMgVaFHQvHL2ef/501ZiZyGEDqhSWIIh2s8YUdOO9mSWJ4xtRM3cCRmhUSrA183i166S0&#10;rEH0WiV5mp4lDdjSWODCOfx62ynpPOJLKbh/kNIJT1RBMTcfTxvPVTiT+RWbrS0zm4r3abB/yKJm&#10;lcagI9Qt84xsbfUHVF1xCw6kP+FQJyBlxUWsAavJ0nfVPG+YEbEWJMeZkSb3/2D5/e7RkqosaH5K&#10;iWY1vtETbHUpSvKE7DG9VoKgDolqjJuh/bN5tP3NoRiqbqWtwz/WQ9pI7n4kV7SecPx4mp+fnaX4&#10;Bhx1+WU+yc6nATU5uBvr/DcBNQlCQW3IIyQRmWW7O+c7+8EuhHSgqnJZKRUvdr26UZbsGD73Mvt6&#10;uoyJY4g3ZkqTBpv1Mp2mEfqNMraeGFF8m/VZHlkhoNKYemCk4yBKfq9ESEPpJyGRVKw67wKEdj5g&#10;Ms6F9lmn2rBSdAlPU/wNwQaPSFAEDMgSCx2xe4DBsgMZsDumevvgKuI0jM595X9zHj1iZNB+dK4r&#10;DfajyhRW1Ufu7AeSOmoCS75dtWgSxBWUe+w+C91YOsOXFb78HXP+kVmcQ+wW3C3+AQ+pAN8MeomS&#10;DdhfH30P9jgeqKWkwbkuqPu5ZVZQor5rHJzLbDIJiyBeJtPzHC/2WLM61uhtfQPYSxluMcOjGOy9&#10;GkRpoX7FFbQIUVHFNMfYBeXeDpcb3+0bXGJcLBbRDIffMH+nnw0P4IHg0NQv7Suzpm9/j5NzD8MO&#10;YLN3A9DZBk8Ni60HWcXpOPDaU4+LI/ZQv+TCZjq+R6vDKp7/BgAA//8DAFBLAwQUAAYACAAAACEA&#10;gUQR4NkAAAAFAQAADwAAAGRycy9kb3ducmV2LnhtbEyPwU7DMBBE70j8g7VI3KhTaAIKcSpUiTNq&#10;QKjHjb0kgXgd2W6b/n1dLnAZaTSrmbfVerajOJAPg2MFy0UGglg7M3Cn4OP99e4JRIjIBkfHpOBE&#10;Adb19VWFpXFH3tKhiZ1IJRxKVNDHOJVSBt2TxbBwE3HKvpy3GJP1nTQej6ncjvI+ywppceC00ONE&#10;m570T7O3CrrVSe/eHvJms3103552+hNbrdTtzfzyDCLSHP+O4YKf0KFOTK3bswliVJAeib+asnxZ&#10;JNsqWBVZDrKu5H/6+gwAAP//AwBQSwECLQAUAAYACAAAACEAtoM4kv4AAADhAQAAEwAAAAAAAAAA&#10;AAAAAAAAAAAAW0NvbnRlbnRfVHlwZXNdLnhtbFBLAQItABQABgAIAAAAIQA4/SH/1gAAAJQBAAAL&#10;AAAAAAAAAAAAAAAAAC8BAABfcmVscy8ucmVsc1BLAQItABQABgAIAAAAIQBmnemOtwIAANIFAAAO&#10;AAAAAAAAAAAAAAAAAC4CAABkcnMvZTJvRG9jLnhtbFBLAQItABQABgAIAAAAIQCBRBHg2QAAAAUB&#10;AAAPAAAAAAAAAAAAAAAAABEFAABkcnMvZG93bnJldi54bWxQSwUGAAAAAAQABADzAAAAFwYAAAAA&#10;" fillcolor="#f1e3f3" strokecolor="black [3213]" strokeweight="1.5pt">
                <v:textbox>
                  <w:txbxContent>
                    <w:p w:rsidR="00A5576F" w:rsidRDefault="009E2280" w:rsidP="00A5576F">
                      <w:pPr>
                        <w:pStyle w:val="DHHSbullet1lastline"/>
                        <w:numPr>
                          <w:ilvl w:val="0"/>
                          <w:numId w:val="0"/>
                        </w:numPr>
                        <w:rPr>
                          <w:color w:val="000000" w:themeColor="text1"/>
                        </w:rPr>
                      </w:pPr>
                      <w:r w:rsidRPr="001C3FF2">
                        <w:rPr>
                          <w:color w:val="000000" w:themeColor="text1"/>
                        </w:rPr>
                        <w:t xml:space="preserve">The Victorian Government is </w:t>
                      </w:r>
                      <w:r>
                        <w:rPr>
                          <w:color w:val="000000" w:themeColor="text1"/>
                        </w:rPr>
                        <w:t>rapidly expanding access to</w:t>
                      </w:r>
                      <w:r w:rsidRPr="001C3FF2">
                        <w:rPr>
                          <w:color w:val="000000" w:themeColor="text1"/>
                        </w:rPr>
                        <w:t xml:space="preserve"> res</w:t>
                      </w:r>
                      <w:r>
                        <w:rPr>
                          <w:color w:val="000000" w:themeColor="text1"/>
                        </w:rPr>
                        <w:t xml:space="preserve">idential rehabilitation services across the state to create more </w:t>
                      </w:r>
                      <w:r w:rsidRPr="00FF5343">
                        <w:rPr>
                          <w:color w:val="000000" w:themeColor="text1"/>
                        </w:rPr>
                        <w:t xml:space="preserve">treatment spots, reduce pressure on the system, and improve access to treatment for people who may struggle to attend community-based services. </w:t>
                      </w:r>
                    </w:p>
                    <w:p w:rsidR="00A5576F" w:rsidRDefault="009E2280" w:rsidP="00A5576F">
                      <w:pPr>
                        <w:pStyle w:val="DHHSbullet1lastline"/>
                        <w:numPr>
                          <w:ilvl w:val="0"/>
                          <w:numId w:val="0"/>
                        </w:numPr>
                        <w:rPr>
                          <w:noProof/>
                          <w:lang w:eastAsia="en-AU"/>
                        </w:rPr>
                      </w:pPr>
                      <w:r w:rsidRPr="00890223">
                        <w:rPr>
                          <w:color w:val="000000" w:themeColor="text1"/>
                        </w:rPr>
                        <w:t>The expansion include</w:t>
                      </w:r>
                      <w:r>
                        <w:rPr>
                          <w:color w:val="000000" w:themeColor="text1"/>
                        </w:rPr>
                        <w:t>s</w:t>
                      </w:r>
                      <w:r w:rsidRPr="00890223">
                        <w:rPr>
                          <w:color w:val="000000" w:themeColor="text1"/>
                        </w:rPr>
                        <w:t xml:space="preserve"> establishing a </w:t>
                      </w:r>
                      <w:r>
                        <w:rPr>
                          <w:color w:val="000000" w:themeColor="text1"/>
                        </w:rPr>
                        <w:t xml:space="preserve">specialist </w:t>
                      </w:r>
                      <w:r w:rsidRPr="00890223">
                        <w:rPr>
                          <w:color w:val="000000" w:themeColor="text1"/>
                        </w:rPr>
                        <w:t>service for people with co-occurring alcohol and other drug and mental health needs (dual diagnosis), to be delivered at two new reside</w:t>
                      </w:r>
                      <w:r>
                        <w:rPr>
                          <w:color w:val="000000" w:themeColor="text1"/>
                        </w:rPr>
                        <w:t>ntial rehabilitation facilities</w:t>
                      </w:r>
                      <w:r w:rsidR="00231B90">
                        <w:rPr>
                          <w:color w:val="000000" w:themeColor="text1"/>
                        </w:rPr>
                        <w:t>.</w:t>
                      </w:r>
                    </w:p>
                    <w:p w:rsidR="009E2280" w:rsidRPr="00723327" w:rsidRDefault="009E2280" w:rsidP="00A5576F">
                      <w:pPr>
                        <w:pStyle w:val="DHHSbullet1lastline"/>
                        <w:numPr>
                          <w:ilvl w:val="0"/>
                          <w:numId w:val="0"/>
                        </w:numPr>
                        <w:rPr>
                          <w:color w:val="000000" w:themeColor="text1"/>
                        </w:rPr>
                      </w:pPr>
                      <w:r>
                        <w:rPr>
                          <w:color w:val="000000" w:themeColor="text1"/>
                        </w:rPr>
                        <w:t>Read on to find out how this service differs to standard residential rehabilitation and how you can make a referral.</w:t>
                      </w:r>
                    </w:p>
                  </w:txbxContent>
                </v:textbox>
                <w10:anchorlock/>
              </v:roundrect>
            </w:pict>
          </mc:Fallback>
        </mc:AlternateContent>
      </w:r>
    </w:p>
    <w:p w:rsidR="00AB30D2" w:rsidRDefault="00AB30D2" w:rsidP="00AB30D2">
      <w:pPr>
        <w:pStyle w:val="Heading2"/>
      </w:pPr>
      <w:r>
        <w:t xml:space="preserve">What is dual diagnosis residential </w:t>
      </w:r>
      <w:r w:rsidRPr="00B74E42">
        <w:t>rehabilitation</w:t>
      </w:r>
      <w:r>
        <w:t xml:space="preserve">? </w:t>
      </w:r>
    </w:p>
    <w:p w:rsidR="005D625A" w:rsidRDefault="005D625A" w:rsidP="00AB30D2">
      <w:pPr>
        <w:pStyle w:val="DHHSbody"/>
      </w:pPr>
      <w:r>
        <w:t>Residential rehabilitation is a treatment option for people who have already started their journey to recover from drug issues.</w:t>
      </w:r>
    </w:p>
    <w:p w:rsidR="00AB30D2" w:rsidRDefault="00A5576F" w:rsidP="00AB30D2">
      <w:pPr>
        <w:pStyle w:val="DHHSbody"/>
      </w:pPr>
      <w:r>
        <w:rPr>
          <w:noProof/>
          <w:lang w:eastAsia="en-AU"/>
        </w:rPr>
        <mc:AlternateContent>
          <mc:Choice Requires="wps">
            <w:drawing>
              <wp:anchor distT="0" distB="0" distL="114300" distR="114300" simplePos="0" relativeHeight="251660288" behindDoc="0" locked="0" layoutInCell="1" allowOverlap="1" wp14:anchorId="31E021FC" wp14:editId="7E849F8D">
                <wp:simplePos x="0" y="0"/>
                <wp:positionH relativeFrom="column">
                  <wp:posOffset>-3421380</wp:posOffset>
                </wp:positionH>
                <wp:positionV relativeFrom="paragraph">
                  <wp:posOffset>769620</wp:posOffset>
                </wp:positionV>
                <wp:extent cx="3228975" cy="2524760"/>
                <wp:effectExtent l="0" t="0" r="28575" b="27940"/>
                <wp:wrapSquare wrapText="bothSides"/>
                <wp:docPr id="17" name="Rounded Rectangle 17"/>
                <wp:cNvGraphicFramePr/>
                <a:graphic xmlns:a="http://schemas.openxmlformats.org/drawingml/2006/main">
                  <a:graphicData uri="http://schemas.microsoft.com/office/word/2010/wordprocessingShape">
                    <wps:wsp>
                      <wps:cNvSpPr/>
                      <wps:spPr>
                        <a:xfrm>
                          <a:off x="0" y="0"/>
                          <a:ext cx="3228975" cy="25247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269.4pt;margin-top:60.6pt;width:254.25pt;height:1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qPpgIAAJ4FAAAOAAAAZHJzL2Uyb0RvYy54bWysVE1v2zAMvQ/YfxB0X+14SdMGdYqgRYcB&#10;RRu0HXpWZSkWIIuapMTJfv0o+SNBV+wwLAdFNMlH8onk1fW+0WQnnFdgSjo5yykRhkOlzKakP17u&#10;vlxQ4gMzFdNgREkPwtPr5edPV61diAJq0JVwBEGMX7S2pHUIdpFlnteiYf4MrDColOAaFlB0m6xy&#10;rEX0RmdFnp9nLbjKOuDCe/x62ynpMuFLKXh4lNKLQHRJMbeQTpfOt3hmyyu22Dhma8X7NNg/ZNEw&#10;ZTDoCHXLAiNbp/6AahR34EGGMw5NBlIqLlINWM0kf1fNc82sSLUgOd6ONPn/B8sfdmtHVIVvN6fE&#10;sAbf6Am2phIVeUL2mNloQVCHRLXWL9D+2a5dL3m8xqr30jXxH+sh+0TuYSRX7APh+PFrUVxczmeU&#10;cNQVs2I6P0/0Z0d363z4JqAh8VJSF/OISSRm2e7eB4yL9oNdDGngTmmdnlEb0mIdl/ksTx4etKqi&#10;NtqljhI32pEdw14I+0ksCcFOrFDSBj/GQrvS0i0ctIgQ2jwJiVxhMUUXIHbpEZNxLkyYdKqaVaIL&#10;NcvxNwQbPFLoBBiRJSY5YvcAg2UHMmB3Off20VWkJh+d+8r/5jx6pMhgwujcKAPuo8o0VtVH7uwH&#10;kjpqIktvUB2wkxx0I+Ytv1P4ivfMhzVzOFM4fbgnwiMeUgM+FPQ3Smpwvz76Hu2x1VFLSYszWlL/&#10;c8ucoER/NzgEl5PpNA51EqazeYGCO9W8nWrMtrkBfPoJbiTL0zXaBz1cpYPmFdfJKkZFFTMcY5eU&#10;BzcIN6HbHbiQuFitkhkOsmXh3jxbHsEjq7FBX/avzNm+lQNOwQMM88wW75q5s42eBlbbAFKlTj/y&#10;2vONSyA1Tr+w4pY5lZPVca0ufwMAAP//AwBQSwMEFAAGAAgAAAAhAMSFwmDfAAAADAEAAA8AAABk&#10;cnMvZG93bnJldi54bWxMj8tOwzAQRfdI/IM1SOxS50FRFeJUqBICdlDyAW48TULicRQ7afr3DCtY&#10;ju7VuWeK/WoHseDkO0cKkk0MAql2pqNGQfX1Eu1A+KDJ6MERKriih315e1Po3LgLfeJyDI1gCPlc&#10;K2hDGHMpfd2i1X7jRiTOzm6yOvA5NdJM+sJwO8g0jh+l1R3xQqtHPLRY98fZKti+98u5mquH9fvQ&#10;v9YfTWeHt6tS93fr8xOIgGv4K8OvPqtDyU4nN5PxYlAQbbMduwdO0iQFwZUoizMQJ+YnHMmykP+f&#10;KH8AAAD//wMAUEsBAi0AFAAGAAgAAAAhALaDOJL+AAAA4QEAABMAAAAAAAAAAAAAAAAAAAAAAFtD&#10;b250ZW50X1R5cGVzXS54bWxQSwECLQAUAAYACAAAACEAOP0h/9YAAACUAQAACwAAAAAAAAAAAAAA&#10;AAAvAQAAX3JlbHMvLnJlbHNQSwECLQAUAAYACAAAACEAgJb6j6YCAACeBQAADgAAAAAAAAAAAAAA&#10;AAAuAgAAZHJzL2Uyb0RvYy54bWxQSwECLQAUAAYACAAAACEAxIXCYN8AAAAMAQAADwAAAAAAAAAA&#10;AAAAAAAABQAAZHJzL2Rvd25yZXYueG1sUEsFBgAAAAAEAAQA8wAAAAwGAAAAAA==&#10;" filled="f" strokecolor="black [3213]" strokeweight="1.5pt">
                <w10:wrap type="square"/>
              </v:roundrect>
            </w:pict>
          </mc:Fallback>
        </mc:AlternateContent>
      </w:r>
      <w:r w:rsidR="002C1ADD">
        <w:rPr>
          <w:noProof/>
          <w:lang w:eastAsia="en-AU"/>
        </w:rPr>
        <w:drawing>
          <wp:anchor distT="0" distB="0" distL="114300" distR="114300" simplePos="0" relativeHeight="251661312" behindDoc="0" locked="0" layoutInCell="1" allowOverlap="1" wp14:anchorId="40E9F0B7" wp14:editId="69C46622">
            <wp:simplePos x="0" y="0"/>
            <wp:positionH relativeFrom="column">
              <wp:posOffset>-3421380</wp:posOffset>
            </wp:positionH>
            <wp:positionV relativeFrom="paragraph">
              <wp:posOffset>852805</wp:posOffset>
            </wp:positionV>
            <wp:extent cx="3228975" cy="24339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2433955"/>
                    </a:xfrm>
                    <a:prstGeom prst="rect">
                      <a:avLst/>
                    </a:prstGeom>
                    <a:noFill/>
                  </pic:spPr>
                </pic:pic>
              </a:graphicData>
            </a:graphic>
            <wp14:sizeRelH relativeFrom="page">
              <wp14:pctWidth>0</wp14:pctWidth>
            </wp14:sizeRelH>
            <wp14:sizeRelV relativeFrom="page">
              <wp14:pctHeight>0</wp14:pctHeight>
            </wp14:sizeRelV>
          </wp:anchor>
        </w:drawing>
      </w:r>
      <w:r w:rsidR="00AB30D2" w:rsidRPr="006011E4">
        <w:t xml:space="preserve">For </w:t>
      </w:r>
      <w:r w:rsidR="005D625A">
        <w:t xml:space="preserve">many </w:t>
      </w:r>
      <w:r w:rsidR="00AB30D2" w:rsidRPr="006011E4">
        <w:t xml:space="preserve">individuals with </w:t>
      </w:r>
      <w:r w:rsidR="00AB30D2">
        <w:t>dual diagnosis</w:t>
      </w:r>
      <w:r w:rsidR="00AB30D2" w:rsidRPr="006011E4">
        <w:t xml:space="preserve">, </w:t>
      </w:r>
      <w:r w:rsidR="00CD4FB4">
        <w:t xml:space="preserve">standard </w:t>
      </w:r>
      <w:r w:rsidR="00AB30D2" w:rsidRPr="006011E4">
        <w:t xml:space="preserve">residential </w:t>
      </w:r>
      <w:r w:rsidR="00AB30D2">
        <w:t>rehabilitation</w:t>
      </w:r>
      <w:r w:rsidR="005D625A">
        <w:t xml:space="preserve"> </w:t>
      </w:r>
      <w:r w:rsidR="00CD4FB4">
        <w:t>services offer</w:t>
      </w:r>
      <w:r w:rsidR="00AB30D2" w:rsidRPr="006011E4">
        <w:t xml:space="preserve"> </w:t>
      </w:r>
      <w:r w:rsidR="00AB30D2" w:rsidRPr="00540F0A">
        <w:t xml:space="preserve">a structured and therapeutic </w:t>
      </w:r>
      <w:r w:rsidR="00AB30D2">
        <w:t xml:space="preserve">live-in </w:t>
      </w:r>
      <w:r w:rsidR="00AB30D2" w:rsidRPr="00540F0A">
        <w:t>environment</w:t>
      </w:r>
      <w:r w:rsidR="00CD4FB4">
        <w:t>,</w:t>
      </w:r>
      <w:r w:rsidR="005D625A">
        <w:t xml:space="preserve"> emphasis</w:t>
      </w:r>
      <w:r w:rsidR="00CD4FB4">
        <w:t>ing</w:t>
      </w:r>
      <w:r w:rsidR="005D625A">
        <w:t xml:space="preserve"> </w:t>
      </w:r>
      <w:r w:rsidR="005D625A" w:rsidRPr="00107D2D">
        <w:t xml:space="preserve">self-help and </w:t>
      </w:r>
      <w:r w:rsidR="005D625A">
        <w:t>peer</w:t>
      </w:r>
      <w:r w:rsidR="005D625A" w:rsidRPr="00107D2D">
        <w:t xml:space="preserve"> </w:t>
      </w:r>
      <w:r w:rsidR="005D625A">
        <w:t>work</w:t>
      </w:r>
      <w:r w:rsidR="005D625A" w:rsidRPr="00107D2D">
        <w:t xml:space="preserve"> to </w:t>
      </w:r>
      <w:r w:rsidR="005D625A">
        <w:t xml:space="preserve">support </w:t>
      </w:r>
      <w:r>
        <w:t>reintegration</w:t>
      </w:r>
      <w:r w:rsidR="007C4B04">
        <w:t xml:space="preserve"> into community living</w:t>
      </w:r>
      <w:r>
        <w:t xml:space="preserve"> (see the </w:t>
      </w:r>
      <w:r w:rsidRPr="00A5576F">
        <w:rPr>
          <w:i/>
        </w:rPr>
        <w:t xml:space="preserve">About Residential Rehabilitation </w:t>
      </w:r>
      <w:r w:rsidRPr="00A5576F">
        <w:t xml:space="preserve">factsheet </w:t>
      </w:r>
      <w:r>
        <w:t>for more information).</w:t>
      </w:r>
    </w:p>
    <w:p w:rsidR="00CD4FB4" w:rsidRDefault="00AB30D2" w:rsidP="00AB30D2">
      <w:pPr>
        <w:pStyle w:val="DHHSbody"/>
      </w:pPr>
      <w:r w:rsidRPr="006011E4">
        <w:t xml:space="preserve">However, </w:t>
      </w:r>
      <w:r>
        <w:t>some</w:t>
      </w:r>
      <w:r w:rsidRPr="006011E4">
        <w:t xml:space="preserve"> </w:t>
      </w:r>
      <w:r w:rsidR="005D625A">
        <w:t xml:space="preserve">individuals </w:t>
      </w:r>
      <w:r w:rsidR="00430C94">
        <w:t xml:space="preserve">experiencing </w:t>
      </w:r>
      <w:r w:rsidR="005D625A">
        <w:t>multiple complexities related to dual diagnosis are not well accommodated in s</w:t>
      </w:r>
      <w:r w:rsidR="00430C94">
        <w:t>tandard</w:t>
      </w:r>
      <w:r w:rsidR="005D625A">
        <w:t xml:space="preserve"> </w:t>
      </w:r>
      <w:r w:rsidR="00A5576F">
        <w:t>services</w:t>
      </w:r>
      <w:r w:rsidR="005D625A">
        <w:t xml:space="preserve"> – </w:t>
      </w:r>
      <w:r w:rsidR="00430C94">
        <w:t xml:space="preserve">these clients </w:t>
      </w:r>
      <w:r w:rsidR="00A5576F">
        <w:t xml:space="preserve">may </w:t>
      </w:r>
      <w:r w:rsidR="005D625A">
        <w:t>requir</w:t>
      </w:r>
      <w:r w:rsidR="00430C94">
        <w:t>e</w:t>
      </w:r>
      <w:r w:rsidR="005D625A">
        <w:t xml:space="preserve"> a higher level </w:t>
      </w:r>
      <w:r w:rsidR="00430C94">
        <w:t xml:space="preserve">of </w:t>
      </w:r>
      <w:r w:rsidR="005D625A">
        <w:t>clinical support</w:t>
      </w:r>
      <w:r w:rsidR="00430C94">
        <w:t xml:space="preserve"> and targeted intervention to meet their treatment needs</w:t>
      </w:r>
      <w:r w:rsidR="005D625A">
        <w:t>.</w:t>
      </w:r>
    </w:p>
    <w:p w:rsidR="00A5576F" w:rsidRDefault="00CD4FB4" w:rsidP="00AB30D2">
      <w:pPr>
        <w:pStyle w:val="DHHSbody"/>
        <w:rPr>
          <w:rFonts w:cs="Arial"/>
        </w:rPr>
      </w:pPr>
      <w:r>
        <w:t>To address this treatment gap, a</w:t>
      </w:r>
      <w:r w:rsidRPr="00CD4FB4">
        <w:rPr>
          <w:rFonts w:cs="Arial"/>
        </w:rPr>
        <w:t xml:space="preserve"> new specialist </w:t>
      </w:r>
      <w:r w:rsidR="00A5576F">
        <w:rPr>
          <w:rFonts w:cs="Arial"/>
        </w:rPr>
        <w:t xml:space="preserve">dual diagnosis </w:t>
      </w:r>
      <w:r>
        <w:rPr>
          <w:rFonts w:cs="Arial"/>
        </w:rPr>
        <w:t>service</w:t>
      </w:r>
      <w:r w:rsidRPr="00CD4FB4">
        <w:rPr>
          <w:rFonts w:cs="Arial"/>
        </w:rPr>
        <w:t xml:space="preserve"> will be established and delivered across two new facilities</w:t>
      </w:r>
      <w:r>
        <w:rPr>
          <w:rFonts w:cs="Arial"/>
        </w:rPr>
        <w:t xml:space="preserve"> in 2018</w:t>
      </w:r>
      <w:r w:rsidRPr="00CD4FB4">
        <w:rPr>
          <w:rFonts w:cs="Arial"/>
        </w:rPr>
        <w:t xml:space="preserve"> </w:t>
      </w:r>
      <w:r>
        <w:rPr>
          <w:rFonts w:cs="Arial"/>
        </w:rPr>
        <w:t>– eight beds at Bendigo Health</w:t>
      </w:r>
      <w:r w:rsidRPr="00CD4FB4">
        <w:rPr>
          <w:rFonts w:cs="Arial"/>
        </w:rPr>
        <w:t xml:space="preserve"> and 20 beds at Western Health</w:t>
      </w:r>
      <w:r>
        <w:rPr>
          <w:rFonts w:cs="Arial"/>
        </w:rPr>
        <w:t>.</w:t>
      </w:r>
      <w:r w:rsidR="00A5576F">
        <w:rPr>
          <w:rFonts w:cs="Arial"/>
        </w:rPr>
        <w:t xml:space="preserve"> </w:t>
      </w:r>
    </w:p>
    <w:p w:rsidR="002E230B" w:rsidRDefault="00A75E9B" w:rsidP="00AB30D2">
      <w:pPr>
        <w:pStyle w:val="DHHSbody"/>
        <w:rPr>
          <w:rFonts w:cs="Arial"/>
        </w:rPr>
        <w:sectPr w:rsidR="002E230B" w:rsidSect="009B07FA">
          <w:type w:val="continuous"/>
          <w:pgSz w:w="11906" w:h="16838" w:code="9"/>
          <w:pgMar w:top="1418" w:right="851" w:bottom="1134" w:left="851" w:header="567" w:footer="510" w:gutter="0"/>
          <w:cols w:num="2" w:space="340"/>
          <w:titlePg/>
          <w:docGrid w:linePitch="360"/>
        </w:sectPr>
      </w:pPr>
      <w:r>
        <w:rPr>
          <w:rFonts w:cs="Arial"/>
        </w:rPr>
        <w:t>Read on</w:t>
      </w:r>
      <w:r w:rsidR="00A5576F">
        <w:rPr>
          <w:rFonts w:cs="Arial"/>
        </w:rPr>
        <w:t xml:space="preserve"> for </w:t>
      </w:r>
      <w:r w:rsidR="00A5576F" w:rsidRPr="00F46786">
        <w:rPr>
          <w:rFonts w:cs="Arial"/>
        </w:rPr>
        <w:t xml:space="preserve">client </w:t>
      </w:r>
      <w:r w:rsidR="00231B90" w:rsidRPr="00F46786">
        <w:rPr>
          <w:rFonts w:cs="Arial"/>
        </w:rPr>
        <w:t xml:space="preserve">suitability </w:t>
      </w:r>
      <w:r w:rsidR="00A5576F" w:rsidRPr="00F46786">
        <w:rPr>
          <w:rFonts w:cs="Arial"/>
        </w:rPr>
        <w:t>and referral pathways.</w:t>
      </w:r>
    </w:p>
    <w:p w:rsidR="002E230B" w:rsidRDefault="002E230B" w:rsidP="002E230B">
      <w:pPr>
        <w:pStyle w:val="Heading2"/>
      </w:pPr>
      <w:r>
        <w:lastRenderedPageBreak/>
        <w:t>Who is dual diagnosis residential rehabilitation suitable for?</w:t>
      </w:r>
    </w:p>
    <w:p w:rsidR="00231B90" w:rsidRDefault="002E230B" w:rsidP="00AB30D2">
      <w:pPr>
        <w:pStyle w:val="DHHSbody"/>
        <w:rPr>
          <w:color w:val="000000" w:themeColor="text1"/>
        </w:rPr>
      </w:pPr>
      <w:r>
        <w:rPr>
          <w:bCs/>
          <w:color w:val="000000" w:themeColor="text1"/>
          <w:lang w:val="en-US"/>
        </w:rPr>
        <w:t>This</w:t>
      </w:r>
      <w:r>
        <w:rPr>
          <w:color w:val="000000" w:themeColor="text1"/>
        </w:rPr>
        <w:t xml:space="preserve"> service</w:t>
      </w:r>
      <w:r w:rsidRPr="00581453">
        <w:rPr>
          <w:color w:val="000000" w:themeColor="text1"/>
        </w:rPr>
        <w:t xml:space="preserve"> </w:t>
      </w:r>
      <w:r>
        <w:rPr>
          <w:color w:val="000000" w:themeColor="text1"/>
        </w:rPr>
        <w:t xml:space="preserve">seeks to </w:t>
      </w:r>
      <w:r w:rsidRPr="00581453">
        <w:rPr>
          <w:color w:val="000000" w:themeColor="text1"/>
        </w:rPr>
        <w:t xml:space="preserve">address the needs of </w:t>
      </w:r>
      <w:r w:rsidR="007C4B04">
        <w:t>adults</w:t>
      </w:r>
      <w:r w:rsidR="007C4B04" w:rsidRPr="006011E4">
        <w:t xml:space="preserve"> experiencing </w:t>
      </w:r>
      <w:r w:rsidRPr="00581453">
        <w:rPr>
          <w:color w:val="000000" w:themeColor="text1"/>
        </w:rPr>
        <w:t>dual diagnosis who are not well accommodated in standard residential rehabilitation services.</w:t>
      </w:r>
    </w:p>
    <w:p w:rsidR="00F84A54" w:rsidRPr="00C93B18" w:rsidRDefault="00F84A54" w:rsidP="00AB30D2">
      <w:pPr>
        <w:pStyle w:val="DHHSbody"/>
      </w:pPr>
      <w:r>
        <w:rPr>
          <w:color w:val="000000" w:themeColor="text1"/>
        </w:rPr>
        <w:t xml:space="preserve">This </w:t>
      </w:r>
      <w:r w:rsidR="00290CF8">
        <w:rPr>
          <w:color w:val="000000" w:themeColor="text1"/>
        </w:rPr>
        <w:t>service</w:t>
      </w:r>
      <w:r w:rsidRPr="00C93B18">
        <w:rPr>
          <w:color w:val="000000" w:themeColor="text1"/>
        </w:rPr>
        <w:t xml:space="preserve"> may be suitable for people who</w:t>
      </w:r>
      <w:r w:rsidR="00290CF8">
        <w:rPr>
          <w:color w:val="000000" w:themeColor="text1"/>
        </w:rPr>
        <w:t xml:space="preserve"> </w:t>
      </w:r>
      <w:r w:rsidR="00290CF8" w:rsidRPr="00E60123">
        <w:rPr>
          <w:lang w:val="en-US"/>
        </w:rPr>
        <w:t xml:space="preserve">experience problems with </w:t>
      </w:r>
      <w:r w:rsidR="00290CF8">
        <w:rPr>
          <w:lang w:val="en-US"/>
        </w:rPr>
        <w:t>alcohol and other drugs and</w:t>
      </w:r>
      <w:r w:rsidR="007C4B04" w:rsidRPr="00C93B18">
        <w:t>:</w:t>
      </w:r>
    </w:p>
    <w:p w:rsidR="002E230B" w:rsidRPr="00C93B18" w:rsidRDefault="002E230B" w:rsidP="002E230B">
      <w:pPr>
        <w:pStyle w:val="DHHSbullet1"/>
      </w:pPr>
      <w:r w:rsidRPr="00C93B18">
        <w:t>have mental health symptoms that need active treatment, such as unresolved anxiety or depression, or low-level active positive psychotic symptoms</w:t>
      </w:r>
    </w:p>
    <w:p w:rsidR="002E230B" w:rsidRPr="00C93B18" w:rsidRDefault="002E230B" w:rsidP="002E230B">
      <w:pPr>
        <w:pStyle w:val="DHHSbullet1"/>
      </w:pPr>
      <w:r w:rsidRPr="00C93B18">
        <w:t>have mental health symptoms that need overnight support, such as low-level active post-traumatic stress disorder (PTSD) symptoms such as nightmares and sleep problems, or people who need regular or ‘as needed’ medication overnight</w:t>
      </w:r>
    </w:p>
    <w:p w:rsidR="002E230B" w:rsidRPr="00C93B18" w:rsidRDefault="002E230B" w:rsidP="002E230B">
      <w:pPr>
        <w:pStyle w:val="DHHSbullet1"/>
      </w:pPr>
      <w:r w:rsidRPr="00C93B18">
        <w:t>need additional assistance to manage cognitive problems, such as with executive functioning or memory</w:t>
      </w:r>
    </w:p>
    <w:p w:rsidR="00C93B18" w:rsidRPr="00C93B18" w:rsidRDefault="002E230B" w:rsidP="007C4B04">
      <w:pPr>
        <w:pStyle w:val="DHHSbullet1"/>
      </w:pPr>
      <w:r w:rsidRPr="00C93B18">
        <w:t>have poor impulse or emotional control</w:t>
      </w:r>
    </w:p>
    <w:p w:rsidR="007C4B04" w:rsidRDefault="002E230B" w:rsidP="00C93B18">
      <w:pPr>
        <w:pStyle w:val="DHHSbullet1lastline"/>
      </w:pPr>
      <w:r w:rsidRPr="00C93B18">
        <w:t xml:space="preserve">have a history of frequent drop-out from </w:t>
      </w:r>
      <w:r w:rsidR="00C93B18" w:rsidRPr="00C93B18">
        <w:t>alcohol and other drugs</w:t>
      </w:r>
      <w:r w:rsidRPr="00C93B18">
        <w:t>, mental health or other treatment</w:t>
      </w:r>
      <w:r w:rsidR="007C4B04" w:rsidRPr="00C93B18">
        <w:t>.</w:t>
      </w:r>
    </w:p>
    <w:p w:rsidR="00F84A54" w:rsidRDefault="002E230B" w:rsidP="00D7416F">
      <w:pPr>
        <w:pStyle w:val="Heading4"/>
        <w:spacing w:before="0"/>
      </w:pPr>
      <w:r>
        <w:t>Who is not suitable?</w:t>
      </w:r>
    </w:p>
    <w:p w:rsidR="00F84A54" w:rsidRDefault="00F84A54" w:rsidP="002E230B">
      <w:pPr>
        <w:pStyle w:val="DHHSbody"/>
      </w:pPr>
      <w:r>
        <w:t>Individuals</w:t>
      </w:r>
      <w:r w:rsidRPr="006011E4">
        <w:t xml:space="preserve"> with </w:t>
      </w:r>
      <w:r>
        <w:t xml:space="preserve">lived </w:t>
      </w:r>
      <w:r w:rsidRPr="006011E4">
        <w:t>experience</w:t>
      </w:r>
      <w:r>
        <w:t xml:space="preserve"> of</w:t>
      </w:r>
      <w:r w:rsidRPr="006011E4">
        <w:t xml:space="preserve"> </w:t>
      </w:r>
      <w:r>
        <w:t>dual diagnosis</w:t>
      </w:r>
      <w:r w:rsidRPr="006011E4">
        <w:t xml:space="preserve"> who have the capacity to manage </w:t>
      </w:r>
      <w:r>
        <w:t>the involvement and responsibility</w:t>
      </w:r>
      <w:r w:rsidRPr="006011E4">
        <w:t xml:space="preserve"> </w:t>
      </w:r>
      <w:r>
        <w:t>associated with being a resident of standard residential program</w:t>
      </w:r>
      <w:r w:rsidR="00C93B18">
        <w:t>s</w:t>
      </w:r>
      <w:r>
        <w:t xml:space="preserve"> </w:t>
      </w:r>
      <w:r w:rsidRPr="006011E4">
        <w:t xml:space="preserve">are best served in </w:t>
      </w:r>
      <w:r>
        <w:t xml:space="preserve">those services and are </w:t>
      </w:r>
      <w:r w:rsidR="00A23A10">
        <w:t xml:space="preserve">less </w:t>
      </w:r>
      <w:r>
        <w:t>suitable for this specialist service</w:t>
      </w:r>
      <w:r w:rsidRPr="006011E4">
        <w:t>.</w:t>
      </w:r>
    </w:p>
    <w:p w:rsidR="002E230B" w:rsidRDefault="002E230B" w:rsidP="002E230B">
      <w:pPr>
        <w:pStyle w:val="DHHSbody"/>
      </w:pPr>
      <w:r>
        <w:t xml:space="preserve">People typically excluded from standard residential rehabilitation who </w:t>
      </w:r>
      <w:r w:rsidRPr="008F7F8B">
        <w:t>are</w:t>
      </w:r>
      <w:r>
        <w:rPr>
          <w:i/>
        </w:rPr>
        <w:t xml:space="preserve"> </w:t>
      </w:r>
      <w:r w:rsidRPr="008F7F8B">
        <w:t>also</w:t>
      </w:r>
      <w:r w:rsidRPr="004C3571">
        <w:rPr>
          <w:i/>
        </w:rPr>
        <w:t xml:space="preserve"> not suitable</w:t>
      </w:r>
      <w:r>
        <w:t xml:space="preserve"> for </w:t>
      </w:r>
      <w:r w:rsidR="00C93B18">
        <w:t xml:space="preserve">this </w:t>
      </w:r>
      <w:r>
        <w:t xml:space="preserve">service include people </w:t>
      </w:r>
      <w:r w:rsidRPr="00E60123">
        <w:rPr>
          <w:lang w:val="en-US"/>
        </w:rPr>
        <w:t xml:space="preserve">who experience problems with </w:t>
      </w:r>
      <w:r w:rsidR="00C93B18">
        <w:rPr>
          <w:lang w:val="en-US"/>
        </w:rPr>
        <w:t>alcohol and other drugs</w:t>
      </w:r>
      <w:r>
        <w:t xml:space="preserve"> and:</w:t>
      </w:r>
    </w:p>
    <w:p w:rsidR="002E230B" w:rsidRPr="00290CF8" w:rsidRDefault="002E230B" w:rsidP="00937707">
      <w:pPr>
        <w:pStyle w:val="DHHSbullet1"/>
      </w:pPr>
      <w:r>
        <w:t xml:space="preserve">have a </w:t>
      </w:r>
      <w:r w:rsidRPr="00290CF8">
        <w:t>history of extreme antisocial behaviours such as violence, arson, sexual assault, paedophilia</w:t>
      </w:r>
      <w:r w:rsidR="00EF330D">
        <w:t xml:space="preserve"> – they </w:t>
      </w:r>
      <w:r w:rsidR="007D4A50">
        <w:t xml:space="preserve">are better supported in </w:t>
      </w:r>
      <w:r w:rsidR="00937707">
        <w:t>specialised forensic and community services where eligible</w:t>
      </w:r>
    </w:p>
    <w:p w:rsidR="002E230B" w:rsidRPr="00290CF8" w:rsidRDefault="002E230B" w:rsidP="00C93B18">
      <w:pPr>
        <w:pStyle w:val="DHHSbullet1lastline"/>
      </w:pPr>
      <w:r w:rsidRPr="00290CF8">
        <w:t xml:space="preserve">are experiencing active and acute suicidal thinking and are at high risk of acting on their suicidal thoughts – they should be stabilised in an acute mental health service prior to entry </w:t>
      </w:r>
    </w:p>
    <w:p w:rsidR="002E230B" w:rsidRPr="00290CF8" w:rsidRDefault="002E230B" w:rsidP="002E230B">
      <w:pPr>
        <w:pStyle w:val="DHHSbullet1"/>
      </w:pPr>
      <w:r w:rsidRPr="00290CF8">
        <w:t xml:space="preserve">are experiencing active and acute positive symptoms of psychosis or mania – they should be stabilised in an acute mental health service prior to entry </w:t>
      </w:r>
    </w:p>
    <w:p w:rsidR="002E230B" w:rsidRPr="00290CF8" w:rsidRDefault="002E230B" w:rsidP="002E230B">
      <w:pPr>
        <w:pStyle w:val="DHHSbullet1"/>
      </w:pPr>
      <w:r w:rsidRPr="00290CF8">
        <w:t xml:space="preserve">are still using drugs or who are going through acute withdrawal – they should be referred to an existing </w:t>
      </w:r>
      <w:r w:rsidR="00F46786">
        <w:t>withdrawal service</w:t>
      </w:r>
      <w:r w:rsidR="00A23A10">
        <w:t xml:space="preserve"> prior to entry</w:t>
      </w:r>
    </w:p>
    <w:p w:rsidR="002E230B" w:rsidRPr="00290CF8" w:rsidRDefault="002E230B" w:rsidP="002E230B">
      <w:pPr>
        <w:pStyle w:val="DHHSbullet1"/>
      </w:pPr>
      <w:r w:rsidRPr="00290CF8">
        <w:t xml:space="preserve">have a very low body mass index that requires medical care </w:t>
      </w:r>
      <w:r w:rsidR="00A75E9B">
        <w:t>or</w:t>
      </w:r>
      <w:r w:rsidRPr="00290CF8">
        <w:t xml:space="preserve"> who are actively bingeing, purging or restricting their diet  – this group is better supported in a mental health, medical or specialist eating disorders service</w:t>
      </w:r>
    </w:p>
    <w:p w:rsidR="001E0B33" w:rsidRDefault="002E230B" w:rsidP="005009AF">
      <w:pPr>
        <w:pStyle w:val="DHHSbullet1lastline"/>
      </w:pPr>
      <w:r w:rsidRPr="00290CF8">
        <w:t xml:space="preserve">meet the criteria for intellectual disability as outlined in the </w:t>
      </w:r>
      <w:r w:rsidRPr="00290CF8">
        <w:rPr>
          <w:i/>
        </w:rPr>
        <w:t>Disability Act 2006</w:t>
      </w:r>
      <w:r w:rsidRPr="00290CF8">
        <w:t xml:space="preserve"> (Vic)</w:t>
      </w:r>
      <w:r w:rsidR="00290CF8">
        <w:t xml:space="preserve"> </w:t>
      </w:r>
      <w:r w:rsidRPr="00290CF8">
        <w:t>– this group is better supported in intellectual disabilit</w:t>
      </w:r>
      <w:r w:rsidR="00A23A10">
        <w:t>y</w:t>
      </w:r>
      <w:r w:rsidRPr="00290CF8">
        <w:t xml:space="preserve"> services.</w:t>
      </w:r>
      <w:r w:rsidR="001E0B33">
        <w:t xml:space="preserve"> </w:t>
      </w:r>
    </w:p>
    <w:p w:rsidR="0010342A" w:rsidRDefault="0010342A" w:rsidP="0010342A">
      <w:pPr>
        <w:pStyle w:val="Heading2"/>
        <w:spacing w:before="0"/>
      </w:pPr>
      <w:r>
        <w:t xml:space="preserve">How do people access </w:t>
      </w:r>
      <w:r w:rsidR="00713596">
        <w:t xml:space="preserve">dual diagnosis </w:t>
      </w:r>
      <w:r>
        <w:t xml:space="preserve">residential rehabilitation? </w:t>
      </w:r>
      <w:r w:rsidRPr="00BC6C9F">
        <w:t xml:space="preserve"> </w:t>
      </w:r>
    </w:p>
    <w:p w:rsidR="002D44D1" w:rsidRDefault="00D650EA" w:rsidP="002D44D1">
      <w:pPr>
        <w:pStyle w:val="DHHSbody"/>
      </w:pPr>
      <w:r>
        <w:t xml:space="preserve">Referral </w:t>
      </w:r>
      <w:r w:rsidR="002D44D1">
        <w:t xml:space="preserve">into </w:t>
      </w:r>
      <w:r w:rsidR="00253E00">
        <w:t>this</w:t>
      </w:r>
      <w:r w:rsidR="002D44D1">
        <w:t xml:space="preserve"> service</w:t>
      </w:r>
      <w:r>
        <w:t xml:space="preserve"> is similar to referral pathways for standard re</w:t>
      </w:r>
      <w:r w:rsidR="00AE3A4E">
        <w:t>sidential rehabilitation</w:t>
      </w:r>
      <w:r w:rsidR="00AE3A4E" w:rsidRPr="00AE3A4E">
        <w:t xml:space="preserve"> </w:t>
      </w:r>
      <w:r w:rsidR="002D44D1">
        <w:t xml:space="preserve">– </w:t>
      </w:r>
      <w:r w:rsidR="00AE3A4E">
        <w:t xml:space="preserve">see </w:t>
      </w:r>
      <w:r w:rsidR="00AE3A4E" w:rsidRPr="00AE3A4E">
        <w:rPr>
          <w:i/>
        </w:rPr>
        <w:t>Client pathways</w:t>
      </w:r>
      <w:r w:rsidR="00AE3A4E">
        <w:t xml:space="preserve"> </w:t>
      </w:r>
      <w:r w:rsidR="002D44D1">
        <w:t xml:space="preserve">and </w:t>
      </w:r>
      <w:r w:rsidR="002D44D1" w:rsidRPr="002D44D1">
        <w:rPr>
          <w:i/>
        </w:rPr>
        <w:t>C</w:t>
      </w:r>
      <w:r w:rsidR="002D44D1">
        <w:rPr>
          <w:i/>
        </w:rPr>
        <w:t>atchment-based intake</w:t>
      </w:r>
      <w:r w:rsidR="00A75E9B">
        <w:t xml:space="preserve"> later in this document.</w:t>
      </w:r>
    </w:p>
    <w:p w:rsidR="00AE3A4E" w:rsidRDefault="00253E00" w:rsidP="00AE3A4E">
      <w:pPr>
        <w:pStyle w:val="DHHSbody"/>
      </w:pPr>
      <w:r>
        <w:t>Client eligibility is responsive to symptoms</w:t>
      </w:r>
      <w:r w:rsidR="00AA70F8">
        <w:t>’</w:t>
      </w:r>
      <w:r w:rsidR="002D44D1" w:rsidRPr="006011E4">
        <w:t xml:space="preserve"> severity rather than specific mental health conditions or diagnoses</w:t>
      </w:r>
      <w:r w:rsidR="002D44D1">
        <w:t xml:space="preserve"> – see</w:t>
      </w:r>
      <w:r w:rsidR="00F46786">
        <w:t xml:space="preserve"> also</w:t>
      </w:r>
      <w:r w:rsidR="002D44D1">
        <w:t xml:space="preserve"> </w:t>
      </w:r>
      <w:r w:rsidR="002D44D1" w:rsidRPr="00AE3A4E">
        <w:rPr>
          <w:i/>
        </w:rPr>
        <w:t>Screening tool for referrers</w:t>
      </w:r>
      <w:r w:rsidR="00F46786">
        <w:t>.</w:t>
      </w:r>
    </w:p>
    <w:p w:rsidR="00AE3A4E" w:rsidRDefault="00AE3A4E" w:rsidP="00AE3A4E">
      <w:pPr>
        <w:pStyle w:val="DHHSbody"/>
      </w:pPr>
      <w:r w:rsidRPr="00C84396">
        <w:t xml:space="preserve">Pathways into </w:t>
      </w:r>
      <w:r>
        <w:t>the service</w:t>
      </w:r>
      <w:r w:rsidRPr="00C84396">
        <w:t xml:space="preserve"> include</w:t>
      </w:r>
      <w:r w:rsidR="00520BC0">
        <w:t xml:space="preserve"> referral by</w:t>
      </w:r>
      <w:r w:rsidRPr="00C84396">
        <w:t xml:space="preserve"> catchment-based intake</w:t>
      </w:r>
      <w:r w:rsidR="00520BC0">
        <w:t xml:space="preserve"> services</w:t>
      </w:r>
      <w:r>
        <w:t>, other drug</w:t>
      </w:r>
      <w:r w:rsidRPr="00C84396">
        <w:t xml:space="preserve"> </w:t>
      </w:r>
      <w:r>
        <w:t xml:space="preserve">or mental health </w:t>
      </w:r>
      <w:r w:rsidRPr="00C84396">
        <w:t>service</w:t>
      </w:r>
      <w:r>
        <w:t>s (</w:t>
      </w:r>
      <w:r w:rsidR="00253E00">
        <w:t xml:space="preserve">noting that </w:t>
      </w:r>
      <w:r>
        <w:t>people suitable for this service</w:t>
      </w:r>
      <w:r w:rsidRPr="006011E4">
        <w:t xml:space="preserve"> </w:t>
      </w:r>
      <w:r w:rsidR="002D44D1">
        <w:t>will likely</w:t>
      </w:r>
      <w:r>
        <w:t xml:space="preserve"> already</w:t>
      </w:r>
      <w:r w:rsidRPr="006011E4">
        <w:t xml:space="preserve"> </w:t>
      </w:r>
      <w:r>
        <w:t xml:space="preserve">be accessing such services). </w:t>
      </w:r>
      <w:r w:rsidRPr="006011E4">
        <w:t>People may</w:t>
      </w:r>
      <w:r>
        <w:t xml:space="preserve"> also</w:t>
      </w:r>
      <w:r w:rsidRPr="006011E4">
        <w:t xml:space="preserve"> be referred through primary care</w:t>
      </w:r>
      <w:r>
        <w:t xml:space="preserve"> or other community services or may self-refer. </w:t>
      </w:r>
    </w:p>
    <w:p w:rsidR="00F46786" w:rsidRDefault="00F46786" w:rsidP="00F46786">
      <w:pPr>
        <w:pStyle w:val="Heading4"/>
        <w:spacing w:before="0"/>
      </w:pPr>
      <w:r>
        <w:t>Admission assessment</w:t>
      </w:r>
      <w:r w:rsidR="00A9635E">
        <w:t xml:space="preserve"> </w:t>
      </w:r>
    </w:p>
    <w:p w:rsidR="00CD0E06" w:rsidRDefault="00AE3A4E" w:rsidP="00AE3A4E">
      <w:pPr>
        <w:pStyle w:val="DHHSbody"/>
      </w:pPr>
      <w:r>
        <w:t xml:space="preserve">The service provider will undertake an admission assessment </w:t>
      </w:r>
      <w:r w:rsidR="005009AF">
        <w:t xml:space="preserve">of client suitability </w:t>
      </w:r>
      <w:r>
        <w:t>prior to accepting a referral.</w:t>
      </w:r>
      <w:r w:rsidR="005009AF" w:rsidRPr="005009AF">
        <w:t xml:space="preserve"> </w:t>
      </w:r>
    </w:p>
    <w:p w:rsidR="00D7416F" w:rsidRDefault="005009AF" w:rsidP="00AE3A4E">
      <w:pPr>
        <w:pStyle w:val="DHHSbody"/>
      </w:pPr>
      <w:r w:rsidRPr="005009AF">
        <w:t xml:space="preserve">Where </w:t>
      </w:r>
      <w:r>
        <w:t>a client is deemed not suitable (</w:t>
      </w:r>
      <w:r w:rsidR="008A0338">
        <w:t>e.g</w:t>
      </w:r>
      <w:r>
        <w:t xml:space="preserve">. unstable mental health symptoms that may not be </w:t>
      </w:r>
      <w:r w:rsidR="00A75E9B">
        <w:t xml:space="preserve">sufficiently </w:t>
      </w:r>
      <w:r>
        <w:t>addressed by the service), the service provide</w:t>
      </w:r>
      <w:r w:rsidR="00A75E9B">
        <w:t>r</w:t>
      </w:r>
      <w:r>
        <w:t xml:space="preserve"> will </w:t>
      </w:r>
      <w:r w:rsidR="00A23A10">
        <w:t>advise the referring agency about a</w:t>
      </w:r>
      <w:r w:rsidRPr="005009AF">
        <w:t xml:space="preserve"> more suitable service. </w:t>
      </w:r>
    </w:p>
    <w:p w:rsidR="005009AF" w:rsidRDefault="00A75E9B" w:rsidP="00AE3A4E">
      <w:pPr>
        <w:pStyle w:val="DHHSbody"/>
        <w:sectPr w:rsidR="005009AF" w:rsidSect="002E230B">
          <w:type w:val="continuous"/>
          <w:pgSz w:w="11906" w:h="16838" w:code="9"/>
          <w:pgMar w:top="1418" w:right="851" w:bottom="1134" w:left="851" w:header="567" w:footer="510" w:gutter="0"/>
          <w:cols w:space="340"/>
          <w:titlePg/>
          <w:docGrid w:linePitch="360"/>
        </w:sectPr>
      </w:pPr>
      <w:r>
        <w:t>Where appropriate, the service provider will provide</w:t>
      </w:r>
      <w:r w:rsidR="005009AF" w:rsidRPr="005009AF">
        <w:t xml:space="preserve"> as</w:t>
      </w:r>
      <w:r w:rsidR="00F46786">
        <w:t>sertive follow-up to facilitate admission</w:t>
      </w:r>
      <w:r w:rsidR="005009AF" w:rsidRPr="005009AF">
        <w:t xml:space="preserve"> into the </w:t>
      </w:r>
      <w:r>
        <w:t>service</w:t>
      </w:r>
      <w:r w:rsidR="005009AF" w:rsidRPr="005009AF">
        <w:t xml:space="preserve"> </w:t>
      </w:r>
      <w:r>
        <w:t>to</w:t>
      </w:r>
      <w:r w:rsidR="005009AF" w:rsidRPr="005009AF">
        <w:t xml:space="preserve"> support </w:t>
      </w:r>
      <w:r>
        <w:t xml:space="preserve">that </w:t>
      </w:r>
      <w:r w:rsidR="005009AF" w:rsidRPr="005009AF">
        <w:t>client</w:t>
      </w:r>
      <w:r>
        <w:t>’s recovery journey.</w:t>
      </w:r>
    </w:p>
    <w:p w:rsidR="005D75D9" w:rsidRDefault="005D75D9" w:rsidP="005D75D9">
      <w:pPr>
        <w:pStyle w:val="DHHSbody"/>
        <w:spacing w:before="240"/>
      </w:pPr>
      <w:r w:rsidRPr="005D75D9">
        <w:rPr>
          <w:rStyle w:val="Heading2Char"/>
        </w:rPr>
        <w:lastRenderedPageBreak/>
        <w:t>Screening tool for referrers</w:t>
      </w:r>
      <w:r w:rsidRPr="005D75D9">
        <w:rPr>
          <w:b/>
        </w:rPr>
        <w:t xml:space="preserve"> </w:t>
      </w:r>
      <w:r w:rsidRPr="005D75D9">
        <w:t xml:space="preserve">(Department of Health and Human Services, </w:t>
      </w:r>
      <w:r w:rsidR="00330208">
        <w:t>Service Guidelines</w:t>
      </w:r>
      <w:r w:rsidRPr="005D75D9">
        <w:t xml:space="preserve"> v.01)</w:t>
      </w:r>
    </w:p>
    <w:p w:rsidR="007D7484" w:rsidRPr="005D75D9" w:rsidRDefault="00C34D16" w:rsidP="00CD0E06">
      <w:pPr>
        <w:pStyle w:val="DHHSbody"/>
        <w:spacing w:before="240"/>
        <w:jc w:val="center"/>
        <w:rPr>
          <w:b/>
        </w:rPr>
      </w:pPr>
      <w:r>
        <w:rPr>
          <w:b/>
          <w:noProof/>
          <w:lang w:eastAsia="en-AU"/>
        </w:rPr>
        <w:drawing>
          <wp:inline distT="0" distB="0" distL="0" distR="0" wp14:anchorId="0E4E62F9" wp14:editId="7037A32D">
            <wp:extent cx="6450330" cy="8626475"/>
            <wp:effectExtent l="0" t="0" r="7620" b="317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0330" cy="8626475"/>
                    </a:xfrm>
                    <a:prstGeom prst="rect">
                      <a:avLst/>
                    </a:prstGeom>
                    <a:noFill/>
                  </pic:spPr>
                </pic:pic>
              </a:graphicData>
            </a:graphic>
          </wp:inline>
        </w:drawing>
      </w:r>
    </w:p>
    <w:p w:rsidR="00253E00" w:rsidRDefault="00253E00">
      <w:pPr>
        <w:pStyle w:val="DHHSbody"/>
        <w:jc w:val="center"/>
        <w:sectPr w:rsidR="00253E00" w:rsidSect="00520BC0">
          <w:type w:val="continuous"/>
          <w:pgSz w:w="11906" w:h="16838" w:code="9"/>
          <w:pgMar w:top="1418" w:right="851" w:bottom="1134" w:left="851" w:header="567" w:footer="510" w:gutter="0"/>
          <w:cols w:space="340"/>
          <w:titlePg/>
          <w:docGrid w:linePitch="360"/>
        </w:sectPr>
      </w:pPr>
    </w:p>
    <w:p w:rsidR="0010342A" w:rsidRDefault="0010342A" w:rsidP="0010342A">
      <w:pPr>
        <w:pStyle w:val="Heading2"/>
      </w:pPr>
      <w:r>
        <w:lastRenderedPageBreak/>
        <w:t xml:space="preserve">Client pathways through the drug </w:t>
      </w:r>
      <w:r w:rsidRPr="00222124">
        <w:t xml:space="preserve">treatment system </w:t>
      </w:r>
    </w:p>
    <w:p w:rsidR="00EF4F89" w:rsidRPr="00F44638" w:rsidRDefault="00EF4F89" w:rsidP="00EF4F89">
      <w:pPr>
        <w:pStyle w:val="DHHSBody0"/>
      </w:pPr>
      <w:r>
        <w:t>The figure below illustrates client pathways through the state-funded alcohol and other drugs treatment system.</w:t>
      </w:r>
    </w:p>
    <w:p w:rsidR="00AB30D2" w:rsidRDefault="00B63E7B" w:rsidP="00AB30D2">
      <w:pPr>
        <w:pStyle w:val="DHHSbody"/>
      </w:pPr>
      <w:r>
        <w:t xml:space="preserve">Delivered as a statewide service, people </w:t>
      </w:r>
      <w:r w:rsidRPr="00540F0A">
        <w:t xml:space="preserve">may access </w:t>
      </w:r>
      <w:r>
        <w:t>the</w:t>
      </w:r>
      <w:r w:rsidRPr="00540F0A">
        <w:t xml:space="preserve"> </w:t>
      </w:r>
      <w:r>
        <w:t>dual diagnosis services from anywhere in Victoria, and are assisted to return to their community with assertive aftercare and relapse prevention supports in place.</w:t>
      </w:r>
    </w:p>
    <w:p w:rsidR="00AB30D2" w:rsidRPr="00AB30D2" w:rsidRDefault="00AB30D2" w:rsidP="00AB30D2">
      <w:pPr>
        <w:pStyle w:val="DHHSbody"/>
        <w:jc w:val="center"/>
        <w:sectPr w:rsidR="00AB30D2" w:rsidRPr="00AB30D2" w:rsidSect="0008325C">
          <w:pgSz w:w="11906" w:h="16838" w:code="9"/>
          <w:pgMar w:top="1418" w:right="851" w:bottom="1134" w:left="851" w:header="567" w:footer="510" w:gutter="0"/>
          <w:cols w:space="340"/>
          <w:titlePg/>
          <w:docGrid w:linePitch="360"/>
        </w:sectPr>
      </w:pPr>
      <w:r>
        <w:rPr>
          <w:noProof/>
          <w:lang w:eastAsia="en-AU"/>
        </w:rPr>
        <w:drawing>
          <wp:inline distT="0" distB="0" distL="0" distR="0" wp14:anchorId="610C9724" wp14:editId="3B0F295A">
            <wp:extent cx="5805668" cy="78867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5668" cy="7886700"/>
                    </a:xfrm>
                    <a:prstGeom prst="rect">
                      <a:avLst/>
                    </a:prstGeom>
                    <a:noFill/>
                  </pic:spPr>
                </pic:pic>
              </a:graphicData>
            </a:graphic>
          </wp:inline>
        </w:drawing>
      </w:r>
    </w:p>
    <w:p w:rsidR="00330208" w:rsidRDefault="00330208" w:rsidP="007D7484">
      <w:pPr>
        <w:pStyle w:val="Heading2"/>
        <w:spacing w:before="0" w:after="0"/>
      </w:pPr>
      <w:r>
        <w:lastRenderedPageBreak/>
        <w:t>Where do I go for more information?</w:t>
      </w:r>
    </w:p>
    <w:p w:rsidR="0010342A" w:rsidRDefault="0010342A" w:rsidP="0010342A">
      <w:pPr>
        <w:pStyle w:val="Heading2"/>
        <w:rPr>
          <w:rStyle w:val="Heading1Char"/>
          <w:rFonts w:cs="Times New Roman"/>
          <w:bCs w:val="0"/>
          <w:kern w:val="0"/>
          <w:sz w:val="28"/>
          <w:szCs w:val="28"/>
        </w:rPr>
        <w:sectPr w:rsidR="0010342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rsidR="00330208" w:rsidRDefault="00330208" w:rsidP="00330208">
      <w:pPr>
        <w:pStyle w:val="DHHSbody"/>
      </w:pPr>
      <w:r>
        <w:lastRenderedPageBreak/>
        <w:t>If you have any questions about Victorian alcohol or other drug treatment services, please:</w:t>
      </w:r>
    </w:p>
    <w:p w:rsidR="00330208" w:rsidRDefault="00330208" w:rsidP="00330208">
      <w:pPr>
        <w:pStyle w:val="DHHSbullet1"/>
      </w:pPr>
      <w:r>
        <w:t>speak with your local</w:t>
      </w:r>
      <w:r w:rsidRPr="00A5209D">
        <w:t xml:space="preserve"> catchment-based intake service </w:t>
      </w:r>
      <w:r>
        <w:t>(see below)</w:t>
      </w:r>
    </w:p>
    <w:p w:rsidR="00330208" w:rsidRPr="00330208" w:rsidRDefault="00330208" w:rsidP="0010342A">
      <w:pPr>
        <w:pStyle w:val="DHHSbullet1lastline"/>
        <w:rPr>
          <w:rStyle w:val="Heading1Char"/>
          <w:rFonts w:eastAsia="Times" w:cs="Times New Roman"/>
          <w:bCs w:val="0"/>
          <w:color w:val="auto"/>
          <w:kern w:val="0"/>
          <w:sz w:val="20"/>
          <w:szCs w:val="20"/>
        </w:rPr>
      </w:pPr>
      <w:r>
        <w:t>contact the</w:t>
      </w:r>
      <w:r w:rsidRPr="00A7060A">
        <w:t xml:space="preserve"> statewide </w:t>
      </w:r>
      <w:r>
        <w:t>drug treatment information</w:t>
      </w:r>
      <w:r w:rsidRPr="00A7060A">
        <w:t xml:space="preserve"> and referral service</w:t>
      </w:r>
      <w:r>
        <w:t>, DirectLine on 1800 888 236 or at &lt;</w:t>
      </w:r>
      <w:hyperlink r:id="rId19" w:history="1">
        <w:r w:rsidRPr="006C371E">
          <w:rPr>
            <w:rStyle w:val="Hyperlink"/>
          </w:rPr>
          <w:t>www.directline.org.au</w:t>
        </w:r>
      </w:hyperlink>
      <w:r>
        <w:t>&gt;.</w:t>
      </w:r>
    </w:p>
    <w:p w:rsidR="00330208" w:rsidRPr="00330208" w:rsidRDefault="00330208" w:rsidP="00330208">
      <w:pPr>
        <w:pStyle w:val="Heading4"/>
        <w:rPr>
          <w:rStyle w:val="Heading1Char"/>
          <w:rFonts w:eastAsia="MS Mincho" w:cs="Times New Roman"/>
          <w:bCs/>
          <w:color w:val="auto"/>
          <w:kern w:val="0"/>
          <w:sz w:val="20"/>
          <w:szCs w:val="20"/>
        </w:rPr>
      </w:pPr>
      <w:r w:rsidRPr="00330208">
        <w:rPr>
          <w:rStyle w:val="Heading1Char"/>
          <w:rFonts w:eastAsia="MS Mincho" w:cs="Times New Roman"/>
          <w:bCs/>
          <w:color w:val="auto"/>
          <w:kern w:val="0"/>
          <w:sz w:val="20"/>
          <w:szCs w:val="20"/>
        </w:rPr>
        <w:t xml:space="preserve">Catchment-based intake services </w:t>
      </w:r>
    </w:p>
    <w:p w:rsidR="00330208" w:rsidRDefault="00330208" w:rsidP="00B304FA">
      <w:pPr>
        <w:pStyle w:val="DHHSBody0"/>
      </w:pPr>
      <w:r>
        <w:t>Intake services are the critical point of entry into the alcohol and other drug treatment system. They provide local knowledge to support client pathways to all Victorian state-funded services, including residential rehabilitation.</w:t>
      </w:r>
    </w:p>
    <w:p w:rsidR="00330208" w:rsidRDefault="00330208" w:rsidP="00B304FA">
      <w:pPr>
        <w:pStyle w:val="DHHSBody0"/>
      </w:pPr>
      <w:r>
        <w:t>Working</w:t>
      </w:r>
      <w:r w:rsidRPr="00A7060A">
        <w:t xml:space="preserve"> closely with</w:t>
      </w:r>
      <w:r>
        <w:t xml:space="preserve"> DirectLine, and other treatment providers, intake services </w:t>
      </w:r>
      <w:r w:rsidRPr="00A7060A">
        <w:t xml:space="preserve">facilitate client intake, triage, and referral to </w:t>
      </w:r>
      <w:r>
        <w:t xml:space="preserve">drug </w:t>
      </w:r>
      <w:r w:rsidRPr="00A7060A">
        <w:t xml:space="preserve">treatment, including the use of brief interventions and bridging support as required. </w:t>
      </w:r>
      <w:r>
        <w:t>They</w:t>
      </w:r>
      <w:r w:rsidRPr="00A7060A">
        <w:t xml:space="preserve"> also support families and significant others of people with </w:t>
      </w:r>
      <w:r>
        <w:t>alcohol and other drug</w:t>
      </w:r>
      <w:r w:rsidRPr="00A7060A">
        <w:t xml:space="preserve"> issues.</w:t>
      </w:r>
    </w:p>
    <w:p w:rsidR="00330208" w:rsidRPr="00503BB0" w:rsidRDefault="00330208" w:rsidP="00330208">
      <w:pPr>
        <w:pStyle w:val="DHHSBody0"/>
        <w:rPr>
          <w:rFonts w:eastAsia="MS Gothic"/>
        </w:rPr>
      </w:pPr>
      <w:r>
        <w:t>The table below provides the contact details for catchment-based intake providers.</w:t>
      </w:r>
    </w:p>
    <w:tbl>
      <w:tblPr>
        <w:tblStyle w:val="TableGrid"/>
        <w:tblW w:w="0" w:type="auto"/>
        <w:jc w:val="center"/>
        <w:tblInd w:w="0" w:type="dxa"/>
        <w:tblLook w:val="04A0" w:firstRow="1" w:lastRow="0" w:firstColumn="1" w:lastColumn="0" w:noHBand="0" w:noVBand="1"/>
      </w:tblPr>
      <w:tblGrid>
        <w:gridCol w:w="3377"/>
        <w:gridCol w:w="1691"/>
        <w:gridCol w:w="3286"/>
        <w:gridCol w:w="2066"/>
      </w:tblGrid>
      <w:tr w:rsidR="0010342A" w:rsidTr="0010342A">
        <w:trPr>
          <w:trHeight w:val="380"/>
          <w:jc w:val="center"/>
        </w:trPr>
        <w:tc>
          <w:tcPr>
            <w:tcW w:w="0" w:type="auto"/>
            <w:tcBorders>
              <w:top w:val="single" w:sz="4" w:space="0" w:color="auto"/>
              <w:left w:val="single" w:sz="4" w:space="0" w:color="auto"/>
              <w:bottom w:val="single" w:sz="4" w:space="0" w:color="auto"/>
              <w:right w:val="nil"/>
            </w:tcBorders>
            <w:shd w:val="clear" w:color="auto" w:fill="87189D"/>
            <w:vAlign w:val="center"/>
          </w:tcPr>
          <w:p w:rsidR="0010342A" w:rsidRPr="007333AC" w:rsidRDefault="0010342A" w:rsidP="00961CAC">
            <w:pPr>
              <w:rPr>
                <w:rFonts w:ascii="Arial" w:hAnsi="Arial" w:cs="Arial"/>
                <w:b/>
                <w:color w:val="FFFFFF"/>
              </w:rPr>
            </w:pPr>
            <w:r w:rsidRPr="007333AC">
              <w:rPr>
                <w:rFonts w:ascii="Arial" w:hAnsi="Arial" w:cs="Arial"/>
                <w:b/>
                <w:color w:val="FFFFFF"/>
              </w:rPr>
              <w:t xml:space="preserve">Provider / consortium </w:t>
            </w:r>
          </w:p>
        </w:tc>
        <w:tc>
          <w:tcPr>
            <w:tcW w:w="1691" w:type="dxa"/>
            <w:tcBorders>
              <w:top w:val="single" w:sz="4" w:space="0" w:color="auto"/>
              <w:left w:val="nil"/>
              <w:bottom w:val="single" w:sz="4" w:space="0" w:color="auto"/>
              <w:right w:val="nil"/>
            </w:tcBorders>
            <w:shd w:val="clear" w:color="auto" w:fill="87189D"/>
            <w:vAlign w:val="center"/>
          </w:tcPr>
          <w:p w:rsidR="0010342A" w:rsidRPr="007333AC" w:rsidRDefault="0010342A" w:rsidP="00961CAC">
            <w:pPr>
              <w:rPr>
                <w:rFonts w:ascii="Arial" w:hAnsi="Arial" w:cs="Arial"/>
                <w:b/>
                <w:color w:val="FFFFFF"/>
              </w:rPr>
            </w:pPr>
            <w:r w:rsidRPr="007333AC">
              <w:rPr>
                <w:rFonts w:ascii="Arial" w:hAnsi="Arial" w:cs="Arial"/>
                <w:b/>
                <w:color w:val="FFFFFF"/>
              </w:rPr>
              <w:t>Contact</w:t>
            </w:r>
          </w:p>
        </w:tc>
        <w:tc>
          <w:tcPr>
            <w:tcW w:w="3286" w:type="dxa"/>
            <w:tcBorders>
              <w:top w:val="single" w:sz="4" w:space="0" w:color="auto"/>
              <w:left w:val="nil"/>
              <w:bottom w:val="single" w:sz="4" w:space="0" w:color="auto"/>
              <w:right w:val="nil"/>
            </w:tcBorders>
            <w:shd w:val="clear" w:color="auto" w:fill="87189D"/>
            <w:vAlign w:val="center"/>
          </w:tcPr>
          <w:p w:rsidR="0010342A" w:rsidRPr="007333AC" w:rsidRDefault="0010342A" w:rsidP="00961CAC">
            <w:pPr>
              <w:rPr>
                <w:rFonts w:ascii="Arial" w:hAnsi="Arial" w:cs="Arial"/>
                <w:b/>
                <w:color w:val="FFFFFF"/>
              </w:rPr>
            </w:pPr>
            <w:r w:rsidRPr="007333AC">
              <w:rPr>
                <w:rFonts w:ascii="Arial" w:hAnsi="Arial" w:cs="Arial"/>
                <w:b/>
                <w:color w:val="FFFFFF"/>
              </w:rPr>
              <w:t>Local government area</w:t>
            </w:r>
          </w:p>
        </w:tc>
        <w:tc>
          <w:tcPr>
            <w:tcW w:w="0" w:type="auto"/>
            <w:tcBorders>
              <w:top w:val="single" w:sz="4" w:space="0" w:color="auto"/>
              <w:left w:val="nil"/>
              <w:bottom w:val="single" w:sz="4" w:space="0" w:color="auto"/>
              <w:right w:val="single" w:sz="4" w:space="0" w:color="auto"/>
            </w:tcBorders>
            <w:shd w:val="clear" w:color="auto" w:fill="87189D"/>
            <w:vAlign w:val="center"/>
          </w:tcPr>
          <w:p w:rsidR="0010342A" w:rsidRPr="007333AC" w:rsidRDefault="0010342A" w:rsidP="00961CAC">
            <w:pPr>
              <w:rPr>
                <w:rFonts w:ascii="Arial" w:hAnsi="Arial" w:cs="Arial"/>
                <w:b/>
                <w:color w:val="FFFFFF"/>
              </w:rPr>
            </w:pPr>
            <w:r w:rsidRPr="007333AC">
              <w:rPr>
                <w:rFonts w:ascii="Arial" w:hAnsi="Arial" w:cs="Arial"/>
                <w:b/>
                <w:color w:val="FFFFFF"/>
              </w:rPr>
              <w:t>Catchment</w:t>
            </w:r>
          </w:p>
        </w:tc>
      </w:tr>
      <w:tr w:rsidR="0010342A" w:rsidTr="00961CAC">
        <w:trPr>
          <w:jc w:val="center"/>
        </w:trPr>
        <w:tc>
          <w:tcPr>
            <w:tcW w:w="0" w:type="auto"/>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r w:rsidRPr="00773C35">
              <w:rPr>
                <w:rFonts w:cs="Arial"/>
              </w:rPr>
              <w:t>Bayside Integrated Services</w:t>
            </w:r>
          </w:p>
        </w:tc>
        <w:tc>
          <w:tcPr>
            <w:tcW w:w="1691"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1800 229 263</w:t>
            </w:r>
          </w:p>
          <w:p w:rsidR="0010342A" w:rsidRPr="00773C35" w:rsidRDefault="0010342A" w:rsidP="00961CAC">
            <w:pPr>
              <w:pStyle w:val="DHHStabletext"/>
              <w:rPr>
                <w:rFonts w:cs="Arial"/>
              </w:rPr>
            </w:pPr>
            <w:r w:rsidRPr="00773C35">
              <w:rPr>
                <w:rFonts w:cs="Arial"/>
              </w:rPr>
              <w:t>9690 9778</w:t>
            </w: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Cities of: Port Phillip, City of Glen </w:t>
            </w:r>
            <w:proofErr w:type="spellStart"/>
            <w:r w:rsidRPr="00773C35">
              <w:rPr>
                <w:rFonts w:cs="Arial"/>
              </w:rPr>
              <w:t>Eira</w:t>
            </w:r>
            <w:proofErr w:type="spellEnd"/>
            <w:r w:rsidRPr="00773C35">
              <w:rPr>
                <w:rFonts w:cs="Arial"/>
              </w:rPr>
              <w:t xml:space="preserve">, Bayside, </w:t>
            </w:r>
            <w:proofErr w:type="spellStart"/>
            <w:r w:rsidRPr="00773C35">
              <w:rPr>
                <w:rFonts w:cs="Arial"/>
              </w:rPr>
              <w:t>Stonnington</w:t>
            </w:r>
            <w:proofErr w:type="spellEnd"/>
            <w:r w:rsidRPr="00773C35">
              <w:rPr>
                <w:rFonts w:cs="Arial"/>
              </w:rPr>
              <w:t>, Kingston</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Bayside</w:t>
            </w:r>
          </w:p>
        </w:tc>
      </w:tr>
      <w:tr w:rsidR="0010342A" w:rsidTr="00961CAC">
        <w:trPr>
          <w:jc w:val="center"/>
        </w:trPr>
        <w:tc>
          <w:tcPr>
            <w:tcW w:w="0" w:type="auto"/>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r w:rsidRPr="00773C35">
              <w:rPr>
                <w:rFonts w:cs="Arial"/>
              </w:rPr>
              <w:t xml:space="preserve">South Eastern Consortium of AOD Agencies (SECADA) </w:t>
            </w:r>
          </w:p>
        </w:tc>
        <w:tc>
          <w:tcPr>
            <w:tcW w:w="1691"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1800 142 536</w:t>
            </w: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Cities of: Greater Dandenong, Casey, Cardinia Shire</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South East Melbourne</w:t>
            </w:r>
          </w:p>
        </w:tc>
      </w:tr>
      <w:tr w:rsidR="0010342A" w:rsidTr="00961CAC">
        <w:trPr>
          <w:jc w:val="center"/>
        </w:trPr>
        <w:tc>
          <w:tcPr>
            <w:tcW w:w="0" w:type="auto"/>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r w:rsidRPr="00773C35">
              <w:rPr>
                <w:rFonts w:cs="Arial"/>
              </w:rPr>
              <w:t>Frankston and Mornington Drug and Alcohol Services (</w:t>
            </w:r>
            <w:proofErr w:type="spellStart"/>
            <w:r w:rsidRPr="00773C35">
              <w:rPr>
                <w:rFonts w:cs="Arial"/>
              </w:rPr>
              <w:t>FaMDAS</w:t>
            </w:r>
            <w:proofErr w:type="spellEnd"/>
            <w:r w:rsidRPr="00773C35">
              <w:rPr>
                <w:rFonts w:cs="Arial"/>
              </w:rPr>
              <w:t>)</w:t>
            </w:r>
          </w:p>
        </w:tc>
        <w:tc>
          <w:tcPr>
            <w:tcW w:w="1691"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1300 665 781</w:t>
            </w: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City of Frankston</w:t>
            </w:r>
          </w:p>
          <w:p w:rsidR="0010342A" w:rsidRPr="00773C35" w:rsidRDefault="0010342A" w:rsidP="00961CAC">
            <w:pPr>
              <w:pStyle w:val="DHHStabletext"/>
              <w:rPr>
                <w:rFonts w:cs="Arial"/>
              </w:rPr>
            </w:pPr>
            <w:r w:rsidRPr="00773C35">
              <w:rPr>
                <w:rFonts w:cs="Arial"/>
              </w:rPr>
              <w:t xml:space="preserve">Mornington Peninsula Shire </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Frankston-Mornington Peninsula</w:t>
            </w:r>
          </w:p>
        </w:tc>
      </w:tr>
      <w:tr w:rsidR="0010342A" w:rsidTr="00961CAC">
        <w:trPr>
          <w:jc w:val="center"/>
        </w:trPr>
        <w:tc>
          <w:tcPr>
            <w:tcW w:w="0" w:type="auto"/>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r w:rsidRPr="00773C35">
              <w:rPr>
                <w:rFonts w:cs="Arial"/>
              </w:rPr>
              <w:t>Eastern Health Turning Point AOD Consortium</w:t>
            </w:r>
          </w:p>
        </w:tc>
        <w:tc>
          <w:tcPr>
            <w:tcW w:w="1691"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1800 778 278</w:t>
            </w: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Cities of: </w:t>
            </w:r>
            <w:proofErr w:type="spellStart"/>
            <w:r w:rsidRPr="00773C35">
              <w:rPr>
                <w:rFonts w:cs="Arial"/>
              </w:rPr>
              <w:t>Boroondara</w:t>
            </w:r>
            <w:proofErr w:type="spellEnd"/>
            <w:r w:rsidRPr="00773C35">
              <w:rPr>
                <w:rFonts w:cs="Arial"/>
              </w:rPr>
              <w:t>, Manningham, Whitehorse, Monash</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Inner East</w:t>
            </w:r>
          </w:p>
        </w:tc>
      </w:tr>
      <w:tr w:rsidR="0010342A" w:rsidTr="00961CAC">
        <w:trPr>
          <w:jc w:val="center"/>
        </w:trPr>
        <w:tc>
          <w:tcPr>
            <w:tcW w:w="0" w:type="auto"/>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r w:rsidRPr="00773C35">
              <w:rPr>
                <w:rFonts w:cs="Arial"/>
              </w:rPr>
              <w:t>EACH SURE Consortium</w:t>
            </w:r>
          </w:p>
        </w:tc>
        <w:tc>
          <w:tcPr>
            <w:tcW w:w="1691"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1300 007 873</w:t>
            </w: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Cities of: Knox, Maroondah </w:t>
            </w:r>
          </w:p>
          <w:p w:rsidR="0010342A" w:rsidRPr="00773C35" w:rsidRDefault="0010342A" w:rsidP="00961CAC">
            <w:pPr>
              <w:pStyle w:val="DHHStabletext"/>
              <w:rPr>
                <w:rFonts w:cs="Arial"/>
              </w:rPr>
            </w:pPr>
            <w:r w:rsidRPr="00773C35">
              <w:rPr>
                <w:rFonts w:cs="Arial"/>
              </w:rPr>
              <w:t>Shire of Yarra Ranges</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Eastern Melbourne</w:t>
            </w:r>
          </w:p>
        </w:tc>
      </w:tr>
      <w:tr w:rsidR="0010342A" w:rsidTr="00961CAC">
        <w:trPr>
          <w:jc w:val="center"/>
        </w:trPr>
        <w:tc>
          <w:tcPr>
            <w:tcW w:w="0" w:type="auto"/>
            <w:vMerge w:val="restart"/>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roofErr w:type="spellStart"/>
            <w:r w:rsidRPr="00773C35">
              <w:rPr>
                <w:rFonts w:cs="Arial"/>
              </w:rPr>
              <w:t>UnitingCare</w:t>
            </w:r>
            <w:proofErr w:type="spellEnd"/>
            <w:r w:rsidRPr="00773C35">
              <w:rPr>
                <w:rFonts w:cs="Arial"/>
              </w:rPr>
              <w:t xml:space="preserve"> </w:t>
            </w:r>
            <w:proofErr w:type="spellStart"/>
            <w:r w:rsidRPr="00773C35">
              <w:rPr>
                <w:rFonts w:cs="Arial"/>
              </w:rPr>
              <w:t>ReGen</w:t>
            </w:r>
            <w:proofErr w:type="spellEnd"/>
            <w:r w:rsidRPr="00773C35">
              <w:rPr>
                <w:rFonts w:cs="Arial"/>
              </w:rPr>
              <w:t xml:space="preserve"> and   Odyssey House Victoria:</w:t>
            </w:r>
          </w:p>
          <w:p w:rsidR="0010342A" w:rsidRPr="00773C35" w:rsidRDefault="0010342A" w:rsidP="00961CAC">
            <w:pPr>
              <w:pStyle w:val="DHHStabletext"/>
              <w:rPr>
                <w:rFonts w:cs="Arial"/>
              </w:rPr>
            </w:pPr>
            <w:r w:rsidRPr="00773C35">
              <w:rPr>
                <w:rFonts w:cs="Arial"/>
              </w:rPr>
              <w:t>North and West Metro Alcohol and Other Drug Service</w:t>
            </w:r>
          </w:p>
        </w:tc>
        <w:tc>
          <w:tcPr>
            <w:tcW w:w="1691" w:type="dxa"/>
            <w:vMerge w:val="restart"/>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1800 700 514</w:t>
            </w: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Cities of: Moreland, Moonee Valley, Melbourne, Yarra </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Inner North</w:t>
            </w:r>
          </w:p>
        </w:tc>
      </w:tr>
      <w:tr w:rsidR="0010342A" w:rsidTr="00961CAC">
        <w:trPr>
          <w:jc w:val="center"/>
        </w:trPr>
        <w:tc>
          <w:tcPr>
            <w:tcW w:w="0" w:type="auto"/>
            <w:vMerge/>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
        </w:tc>
        <w:tc>
          <w:tcPr>
            <w:tcW w:w="1691" w:type="dxa"/>
            <w:vMerge/>
            <w:tcBorders>
              <w:top w:val="single" w:sz="4" w:space="0" w:color="auto"/>
              <w:left w:val="nil"/>
              <w:bottom w:val="single" w:sz="4" w:space="0" w:color="auto"/>
              <w:right w:val="nil"/>
            </w:tcBorders>
          </w:tcPr>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Cities of: Whittlesea, Darebin, Banyule </w:t>
            </w:r>
          </w:p>
          <w:p w:rsidR="0010342A" w:rsidRPr="00773C35" w:rsidRDefault="0010342A" w:rsidP="00961CAC">
            <w:pPr>
              <w:pStyle w:val="DHHStabletext"/>
              <w:tabs>
                <w:tab w:val="left" w:pos="2310"/>
              </w:tabs>
              <w:rPr>
                <w:rFonts w:cs="Arial"/>
              </w:rPr>
            </w:pPr>
            <w:r w:rsidRPr="00773C35">
              <w:rPr>
                <w:rFonts w:cs="Arial"/>
              </w:rPr>
              <w:t>Shire of Nillumbik</w:t>
            </w:r>
            <w:r>
              <w:rPr>
                <w:rFonts w:cs="Arial"/>
              </w:rPr>
              <w:tab/>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North Melbourne</w:t>
            </w:r>
          </w:p>
        </w:tc>
      </w:tr>
      <w:tr w:rsidR="0010342A" w:rsidTr="00961CAC">
        <w:trPr>
          <w:jc w:val="center"/>
        </w:trPr>
        <w:tc>
          <w:tcPr>
            <w:tcW w:w="0" w:type="auto"/>
            <w:vMerge/>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
        </w:tc>
        <w:tc>
          <w:tcPr>
            <w:tcW w:w="1691" w:type="dxa"/>
            <w:vMerge/>
            <w:tcBorders>
              <w:top w:val="single" w:sz="4" w:space="0" w:color="auto"/>
              <w:left w:val="nil"/>
              <w:bottom w:val="single" w:sz="4" w:space="0" w:color="auto"/>
              <w:right w:val="nil"/>
            </w:tcBorders>
          </w:tcPr>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Cities of: </w:t>
            </w:r>
            <w:proofErr w:type="spellStart"/>
            <w:r w:rsidRPr="00773C35">
              <w:rPr>
                <w:rFonts w:cs="Arial"/>
              </w:rPr>
              <w:t>Brimbank</w:t>
            </w:r>
            <w:proofErr w:type="spellEnd"/>
            <w:r w:rsidRPr="00773C35">
              <w:rPr>
                <w:rFonts w:cs="Arial"/>
              </w:rPr>
              <w:t xml:space="preserve">, Hume, Maribyrnong </w:t>
            </w:r>
          </w:p>
          <w:p w:rsidR="0010342A" w:rsidRPr="00773C35" w:rsidRDefault="0010342A" w:rsidP="00961CAC">
            <w:pPr>
              <w:pStyle w:val="DHHStabletext"/>
              <w:rPr>
                <w:rFonts w:cs="Arial"/>
              </w:rPr>
            </w:pPr>
            <w:r w:rsidRPr="00773C35">
              <w:rPr>
                <w:rFonts w:cs="Arial"/>
              </w:rPr>
              <w:t>Shire of Melton</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North West Melbourne</w:t>
            </w:r>
          </w:p>
        </w:tc>
      </w:tr>
      <w:tr w:rsidR="0010342A" w:rsidTr="00961CAC">
        <w:trPr>
          <w:jc w:val="center"/>
        </w:trPr>
        <w:tc>
          <w:tcPr>
            <w:tcW w:w="0" w:type="auto"/>
            <w:vMerge/>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
        </w:tc>
        <w:tc>
          <w:tcPr>
            <w:tcW w:w="1691" w:type="dxa"/>
            <w:vMerge/>
            <w:tcBorders>
              <w:top w:val="single" w:sz="4" w:space="0" w:color="auto"/>
              <w:left w:val="nil"/>
              <w:bottom w:val="single" w:sz="4" w:space="0" w:color="auto"/>
              <w:right w:val="nil"/>
            </w:tcBorders>
          </w:tcPr>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Cities of: Hobsons Bay, Wyndham</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South West Melbourne</w:t>
            </w:r>
          </w:p>
        </w:tc>
      </w:tr>
      <w:tr w:rsidR="0010342A" w:rsidTr="00961CAC">
        <w:trPr>
          <w:jc w:val="center"/>
        </w:trPr>
        <w:tc>
          <w:tcPr>
            <w:tcW w:w="0" w:type="auto"/>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r w:rsidRPr="00773C35">
              <w:rPr>
                <w:rFonts w:cs="Arial"/>
              </w:rPr>
              <w:t>Barwon AOD Consortium</w:t>
            </w:r>
          </w:p>
        </w:tc>
        <w:tc>
          <w:tcPr>
            <w:tcW w:w="1691"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Pr>
                <w:rFonts w:cs="Arial"/>
              </w:rPr>
              <w:t>1300 094 187</w:t>
            </w:r>
          </w:p>
          <w:p w:rsidR="0010342A" w:rsidRPr="00773C35" w:rsidRDefault="0010342A" w:rsidP="00961CAC">
            <w:pPr>
              <w:pStyle w:val="DHHStabletext"/>
              <w:rPr>
                <w:rFonts w:cs="Arial"/>
              </w:rPr>
            </w:pPr>
            <w:r w:rsidRPr="00773C35">
              <w:rPr>
                <w:rFonts w:cs="Arial"/>
              </w:rPr>
              <w:t>Colac area:</w:t>
            </w:r>
          </w:p>
          <w:p w:rsidR="0010342A" w:rsidRPr="00773C35" w:rsidRDefault="0010342A" w:rsidP="00961CAC">
            <w:pPr>
              <w:pStyle w:val="DHHStabletext"/>
              <w:rPr>
                <w:rFonts w:cs="Arial"/>
              </w:rPr>
            </w:pPr>
            <w:r w:rsidRPr="00773C35">
              <w:rPr>
                <w:rFonts w:cs="Arial"/>
              </w:rPr>
              <w:t xml:space="preserve">1300 763 254 </w:t>
            </w: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City of Greater Geelong</w:t>
            </w:r>
          </w:p>
          <w:p w:rsidR="0010342A" w:rsidRPr="00773C35" w:rsidRDefault="0010342A" w:rsidP="00961CAC">
            <w:pPr>
              <w:pStyle w:val="DHHStabletext"/>
              <w:rPr>
                <w:rFonts w:cs="Arial"/>
              </w:rPr>
            </w:pPr>
            <w:r w:rsidRPr="00773C35">
              <w:rPr>
                <w:rFonts w:cs="Arial"/>
              </w:rPr>
              <w:t>Shires of Colac-Otway, Surf Coast</w:t>
            </w:r>
          </w:p>
          <w:p w:rsidR="0010342A" w:rsidRPr="00773C35" w:rsidRDefault="0010342A" w:rsidP="00961CAC">
            <w:pPr>
              <w:pStyle w:val="DHHStabletext"/>
              <w:rPr>
                <w:rFonts w:cs="Arial"/>
              </w:rPr>
            </w:pPr>
            <w:r w:rsidRPr="00773C35">
              <w:rPr>
                <w:rFonts w:cs="Arial"/>
              </w:rPr>
              <w:t>Borough of Queenscliff</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Barwon</w:t>
            </w:r>
          </w:p>
        </w:tc>
      </w:tr>
      <w:tr w:rsidR="0010342A" w:rsidTr="00961CAC">
        <w:trPr>
          <w:jc w:val="center"/>
        </w:trPr>
        <w:tc>
          <w:tcPr>
            <w:tcW w:w="0" w:type="auto"/>
            <w:vMerge w:val="restart"/>
            <w:tcBorders>
              <w:top w:val="single" w:sz="4" w:space="0" w:color="auto"/>
              <w:left w:val="single" w:sz="4" w:space="0" w:color="auto"/>
              <w:bottom w:val="single" w:sz="4" w:space="0" w:color="auto"/>
              <w:right w:val="nil"/>
            </w:tcBorders>
          </w:tcPr>
          <w:p w:rsidR="0010342A" w:rsidRPr="00773C35" w:rsidRDefault="00576EE8" w:rsidP="00961CAC">
            <w:pPr>
              <w:pStyle w:val="DHHStabletext"/>
              <w:rPr>
                <w:rFonts w:cs="Arial"/>
              </w:rPr>
            </w:pPr>
            <w:r w:rsidRPr="00576EE8">
              <w:rPr>
                <w:rFonts w:cs="Arial"/>
              </w:rPr>
              <w:t xml:space="preserve">Australian Community Support Organisation </w:t>
            </w:r>
            <w:r>
              <w:rPr>
                <w:rFonts w:cs="Arial"/>
              </w:rPr>
              <w:t>(</w:t>
            </w:r>
            <w:r w:rsidR="0010342A" w:rsidRPr="00773C35">
              <w:rPr>
                <w:rFonts w:cs="Arial"/>
              </w:rPr>
              <w:t>ACSO</w:t>
            </w:r>
            <w:r>
              <w:rPr>
                <w:rFonts w:cs="Arial"/>
              </w:rPr>
              <w:t>)</w:t>
            </w:r>
          </w:p>
          <w:p w:rsidR="0010342A" w:rsidRPr="00773C35" w:rsidRDefault="0010342A" w:rsidP="00961CAC">
            <w:pPr>
              <w:pStyle w:val="DHHStabletext"/>
              <w:rPr>
                <w:rFonts w:cs="Arial"/>
              </w:rPr>
            </w:pPr>
          </w:p>
        </w:tc>
        <w:tc>
          <w:tcPr>
            <w:tcW w:w="1691" w:type="dxa"/>
            <w:vMerge w:val="restart"/>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1300 022 760</w:t>
            </w:r>
          </w:p>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Shires of: Bass Coast,   South Gippsland, Baw </w:t>
            </w:r>
            <w:proofErr w:type="spellStart"/>
            <w:r w:rsidRPr="00773C35">
              <w:rPr>
                <w:rFonts w:cs="Arial"/>
              </w:rPr>
              <w:t>Baw</w:t>
            </w:r>
            <w:proofErr w:type="spellEnd"/>
            <w:r w:rsidRPr="00773C35">
              <w:rPr>
                <w:rFonts w:cs="Arial"/>
              </w:rPr>
              <w:t>,  Wellington, East Gippsland</w:t>
            </w:r>
          </w:p>
          <w:p w:rsidR="0010342A" w:rsidRPr="00773C35" w:rsidRDefault="0010342A" w:rsidP="00961CAC">
            <w:pPr>
              <w:pStyle w:val="DHHStabletext"/>
              <w:rPr>
                <w:rFonts w:cs="Arial"/>
              </w:rPr>
            </w:pPr>
            <w:r w:rsidRPr="00773C35">
              <w:rPr>
                <w:rFonts w:cs="Arial"/>
              </w:rPr>
              <w:t xml:space="preserve">City of </w:t>
            </w:r>
            <w:proofErr w:type="spellStart"/>
            <w:r w:rsidRPr="00773C35">
              <w:rPr>
                <w:rFonts w:cs="Arial"/>
              </w:rPr>
              <w:t>LaTrobe</w:t>
            </w:r>
            <w:proofErr w:type="spellEnd"/>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 xml:space="preserve">Gippsland </w:t>
            </w:r>
          </w:p>
        </w:tc>
      </w:tr>
      <w:tr w:rsidR="0010342A" w:rsidTr="00961CAC">
        <w:trPr>
          <w:jc w:val="center"/>
        </w:trPr>
        <w:tc>
          <w:tcPr>
            <w:tcW w:w="0" w:type="auto"/>
            <w:vMerge/>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
        </w:tc>
        <w:tc>
          <w:tcPr>
            <w:tcW w:w="1691" w:type="dxa"/>
            <w:vMerge/>
            <w:tcBorders>
              <w:top w:val="single" w:sz="4" w:space="0" w:color="auto"/>
              <w:left w:val="nil"/>
              <w:bottom w:val="single" w:sz="4" w:space="0" w:color="auto"/>
              <w:right w:val="nil"/>
            </w:tcBorders>
          </w:tcPr>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Rural Cities of: Wodonga, Wangaratta, Benalla</w:t>
            </w:r>
          </w:p>
          <w:p w:rsidR="0010342A" w:rsidRPr="00773C35" w:rsidRDefault="0010342A" w:rsidP="00961CAC">
            <w:pPr>
              <w:pStyle w:val="DHHStabletext"/>
              <w:rPr>
                <w:rFonts w:cs="Arial"/>
              </w:rPr>
            </w:pPr>
            <w:r w:rsidRPr="00773C35">
              <w:rPr>
                <w:rFonts w:cs="Arial"/>
              </w:rPr>
              <w:lastRenderedPageBreak/>
              <w:t>Shires of: Indigo, Towong, Mansfield,  Alpine</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lastRenderedPageBreak/>
              <w:t xml:space="preserve">Hume </w:t>
            </w:r>
          </w:p>
        </w:tc>
      </w:tr>
      <w:tr w:rsidR="0010342A" w:rsidTr="00961CAC">
        <w:trPr>
          <w:jc w:val="center"/>
        </w:trPr>
        <w:tc>
          <w:tcPr>
            <w:tcW w:w="0" w:type="auto"/>
            <w:vMerge/>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
        </w:tc>
        <w:tc>
          <w:tcPr>
            <w:tcW w:w="1691" w:type="dxa"/>
            <w:vMerge/>
            <w:tcBorders>
              <w:top w:val="single" w:sz="4" w:space="0" w:color="auto"/>
              <w:left w:val="nil"/>
              <w:bottom w:val="single" w:sz="4" w:space="0" w:color="auto"/>
              <w:right w:val="nil"/>
            </w:tcBorders>
          </w:tcPr>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Shires of: Moira, Strathbogie, Mitchell, Murrindindi</w:t>
            </w:r>
          </w:p>
          <w:p w:rsidR="0010342A" w:rsidRPr="00773C35" w:rsidRDefault="0010342A" w:rsidP="00961CAC">
            <w:pPr>
              <w:pStyle w:val="DHHStabletext"/>
              <w:rPr>
                <w:rFonts w:cs="Arial"/>
              </w:rPr>
            </w:pPr>
            <w:r w:rsidRPr="00773C35">
              <w:rPr>
                <w:rFonts w:cs="Arial"/>
              </w:rPr>
              <w:t>City of Greater Shepparton</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Goulburn Valley</w:t>
            </w:r>
          </w:p>
        </w:tc>
      </w:tr>
      <w:tr w:rsidR="0010342A" w:rsidTr="00961CAC">
        <w:trPr>
          <w:jc w:val="center"/>
        </w:trPr>
        <w:tc>
          <w:tcPr>
            <w:tcW w:w="0" w:type="auto"/>
            <w:vMerge/>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
        </w:tc>
        <w:tc>
          <w:tcPr>
            <w:tcW w:w="1691" w:type="dxa"/>
            <w:vMerge/>
            <w:tcBorders>
              <w:top w:val="single" w:sz="4" w:space="0" w:color="auto"/>
              <w:left w:val="nil"/>
              <w:bottom w:val="single" w:sz="4" w:space="0" w:color="auto"/>
              <w:right w:val="nil"/>
            </w:tcBorders>
          </w:tcPr>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Shires of: Moorabool, Golden Plains, Pyrenees, North Grampians, West Wimmera,  Hindmarsh, </w:t>
            </w:r>
            <w:proofErr w:type="spellStart"/>
            <w:r w:rsidRPr="00773C35">
              <w:rPr>
                <w:rFonts w:cs="Arial"/>
              </w:rPr>
              <w:t>Yarriambiack</w:t>
            </w:r>
            <w:proofErr w:type="spellEnd"/>
            <w:r w:rsidRPr="00773C35">
              <w:rPr>
                <w:rFonts w:cs="Arial"/>
              </w:rPr>
              <w:t>, Hepburn</w:t>
            </w:r>
          </w:p>
          <w:p w:rsidR="0010342A" w:rsidRPr="00773C35" w:rsidRDefault="0010342A" w:rsidP="00961CAC">
            <w:pPr>
              <w:pStyle w:val="DHHStabletext"/>
              <w:rPr>
                <w:rFonts w:cs="Arial"/>
              </w:rPr>
            </w:pPr>
            <w:r w:rsidRPr="00773C35">
              <w:rPr>
                <w:rFonts w:cs="Arial"/>
              </w:rPr>
              <w:t>Rural Cities of: Ararat, Horsham</w:t>
            </w:r>
          </w:p>
          <w:p w:rsidR="0010342A" w:rsidRPr="00773C35" w:rsidRDefault="0010342A" w:rsidP="00961CAC">
            <w:pPr>
              <w:pStyle w:val="DHHStabletext"/>
              <w:rPr>
                <w:rFonts w:cs="Arial"/>
              </w:rPr>
            </w:pPr>
            <w:r w:rsidRPr="00773C35">
              <w:rPr>
                <w:rFonts w:cs="Arial"/>
              </w:rPr>
              <w:t>City of Ballarat</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Grampians</w:t>
            </w:r>
          </w:p>
        </w:tc>
      </w:tr>
      <w:tr w:rsidR="0010342A" w:rsidTr="00961CAC">
        <w:trPr>
          <w:jc w:val="center"/>
        </w:trPr>
        <w:tc>
          <w:tcPr>
            <w:tcW w:w="0" w:type="auto"/>
            <w:vMerge/>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
        </w:tc>
        <w:tc>
          <w:tcPr>
            <w:tcW w:w="1691" w:type="dxa"/>
            <w:vMerge/>
            <w:tcBorders>
              <w:top w:val="single" w:sz="4" w:space="0" w:color="auto"/>
              <w:left w:val="nil"/>
              <w:bottom w:val="single" w:sz="4" w:space="0" w:color="auto"/>
              <w:right w:val="nil"/>
            </w:tcBorders>
          </w:tcPr>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 xml:space="preserve">Rural Cities of: Mildura, Swan Hill </w:t>
            </w:r>
          </w:p>
          <w:p w:rsidR="0010342A" w:rsidRPr="00773C35" w:rsidRDefault="0010342A" w:rsidP="00961CAC">
            <w:pPr>
              <w:pStyle w:val="DHHStabletext"/>
              <w:rPr>
                <w:rFonts w:cs="Arial"/>
              </w:rPr>
            </w:pPr>
            <w:r w:rsidRPr="00773C35">
              <w:rPr>
                <w:rFonts w:cs="Arial"/>
              </w:rPr>
              <w:t>Greater City of Bendigo</w:t>
            </w:r>
          </w:p>
          <w:p w:rsidR="0010342A" w:rsidRPr="00773C35" w:rsidRDefault="0010342A" w:rsidP="00961CAC">
            <w:pPr>
              <w:pStyle w:val="DHHStabletext"/>
              <w:rPr>
                <w:rFonts w:cs="Arial"/>
              </w:rPr>
            </w:pPr>
            <w:r w:rsidRPr="00773C35">
              <w:rPr>
                <w:rFonts w:cs="Arial"/>
              </w:rPr>
              <w:t xml:space="preserve">Shires of: </w:t>
            </w:r>
            <w:proofErr w:type="spellStart"/>
            <w:r w:rsidRPr="00773C35">
              <w:rPr>
                <w:rFonts w:cs="Arial"/>
              </w:rPr>
              <w:t>Buloke</w:t>
            </w:r>
            <w:proofErr w:type="spellEnd"/>
            <w:r w:rsidRPr="00773C35">
              <w:rPr>
                <w:rFonts w:cs="Arial"/>
              </w:rPr>
              <w:t xml:space="preserve">, </w:t>
            </w:r>
            <w:proofErr w:type="spellStart"/>
            <w:r w:rsidRPr="00773C35">
              <w:rPr>
                <w:rFonts w:cs="Arial"/>
              </w:rPr>
              <w:t>Gannawarra</w:t>
            </w:r>
            <w:proofErr w:type="spellEnd"/>
            <w:r w:rsidRPr="00773C35">
              <w:rPr>
                <w:rFonts w:cs="Arial"/>
              </w:rPr>
              <w:t>, Loddon, Campaspe, Central Goldfields, Mount Alexander, Macedon Ranges</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Loddon-</w:t>
            </w:r>
            <w:proofErr w:type="spellStart"/>
            <w:r w:rsidRPr="00773C35">
              <w:rPr>
                <w:rFonts w:cs="Arial"/>
              </w:rPr>
              <w:t>Malle</w:t>
            </w:r>
            <w:proofErr w:type="spellEnd"/>
          </w:p>
        </w:tc>
      </w:tr>
      <w:tr w:rsidR="0010342A" w:rsidTr="00961CAC">
        <w:trPr>
          <w:jc w:val="center"/>
        </w:trPr>
        <w:tc>
          <w:tcPr>
            <w:tcW w:w="0" w:type="auto"/>
            <w:vMerge/>
            <w:tcBorders>
              <w:top w:val="single" w:sz="4" w:space="0" w:color="auto"/>
              <w:left w:val="single" w:sz="4" w:space="0" w:color="auto"/>
              <w:bottom w:val="single" w:sz="4" w:space="0" w:color="auto"/>
              <w:right w:val="nil"/>
            </w:tcBorders>
          </w:tcPr>
          <w:p w:rsidR="0010342A" w:rsidRPr="00773C35" w:rsidRDefault="0010342A" w:rsidP="00961CAC">
            <w:pPr>
              <w:pStyle w:val="DHHStabletext"/>
              <w:rPr>
                <w:rFonts w:cs="Arial"/>
              </w:rPr>
            </w:pPr>
          </w:p>
        </w:tc>
        <w:tc>
          <w:tcPr>
            <w:tcW w:w="1691" w:type="dxa"/>
            <w:vMerge/>
            <w:tcBorders>
              <w:top w:val="single" w:sz="4" w:space="0" w:color="auto"/>
              <w:left w:val="nil"/>
              <w:bottom w:val="single" w:sz="4" w:space="0" w:color="auto"/>
              <w:right w:val="nil"/>
            </w:tcBorders>
          </w:tcPr>
          <w:p w:rsidR="0010342A" w:rsidRPr="00773C35" w:rsidRDefault="0010342A" w:rsidP="00961CAC">
            <w:pPr>
              <w:pStyle w:val="DHHStabletext"/>
              <w:rPr>
                <w:rFonts w:cs="Arial"/>
              </w:rPr>
            </w:pPr>
          </w:p>
        </w:tc>
        <w:tc>
          <w:tcPr>
            <w:tcW w:w="3286" w:type="dxa"/>
            <w:tcBorders>
              <w:top w:val="single" w:sz="4" w:space="0" w:color="auto"/>
              <w:left w:val="nil"/>
              <w:bottom w:val="single" w:sz="4" w:space="0" w:color="auto"/>
              <w:right w:val="nil"/>
            </w:tcBorders>
          </w:tcPr>
          <w:p w:rsidR="0010342A" w:rsidRPr="00773C35" w:rsidRDefault="0010342A" w:rsidP="00961CAC">
            <w:pPr>
              <w:pStyle w:val="DHHStabletext"/>
              <w:rPr>
                <w:rFonts w:cs="Arial"/>
              </w:rPr>
            </w:pPr>
            <w:r w:rsidRPr="00773C35">
              <w:rPr>
                <w:rFonts w:cs="Arial"/>
              </w:rPr>
              <w:t>Shires of: Glenelg, Southern Grampians, Moyne, Corangamite</w:t>
            </w:r>
          </w:p>
          <w:p w:rsidR="0010342A" w:rsidRPr="00773C35" w:rsidRDefault="0010342A" w:rsidP="00961CAC">
            <w:pPr>
              <w:pStyle w:val="DHHStabletext"/>
              <w:rPr>
                <w:rFonts w:cs="Arial"/>
              </w:rPr>
            </w:pPr>
            <w:r w:rsidRPr="00773C35">
              <w:rPr>
                <w:rFonts w:cs="Arial"/>
              </w:rPr>
              <w:t>City of Warrnambool</w:t>
            </w:r>
          </w:p>
        </w:tc>
        <w:tc>
          <w:tcPr>
            <w:tcW w:w="0" w:type="auto"/>
            <w:tcBorders>
              <w:top w:val="single" w:sz="4" w:space="0" w:color="auto"/>
              <w:left w:val="nil"/>
              <w:bottom w:val="single" w:sz="4" w:space="0" w:color="auto"/>
              <w:right w:val="single" w:sz="4" w:space="0" w:color="auto"/>
            </w:tcBorders>
          </w:tcPr>
          <w:p w:rsidR="0010342A" w:rsidRPr="00773C35" w:rsidRDefault="0010342A" w:rsidP="00961CAC">
            <w:pPr>
              <w:pStyle w:val="DHHStabletext"/>
              <w:rPr>
                <w:rFonts w:cs="Arial"/>
              </w:rPr>
            </w:pPr>
            <w:r w:rsidRPr="00773C35">
              <w:rPr>
                <w:rFonts w:cs="Arial"/>
              </w:rPr>
              <w:t>Great South Coast</w:t>
            </w:r>
          </w:p>
        </w:tc>
      </w:tr>
    </w:tbl>
    <w:p w:rsidR="0010342A" w:rsidRDefault="0010342A" w:rsidP="0010342A">
      <w:pPr>
        <w:pStyle w:val="DHHSbullet1"/>
        <w:numPr>
          <w:ilvl w:val="0"/>
          <w:numId w:val="0"/>
        </w:numPr>
        <w:tabs>
          <w:tab w:val="left" w:pos="1110"/>
        </w:tabs>
        <w:ind w:left="284" w:hanging="284"/>
        <w:rPr>
          <w:rFonts w:cs="Arial"/>
        </w:rPr>
      </w:pPr>
    </w:p>
    <w:p w:rsidR="0010342A" w:rsidRDefault="0010342A" w:rsidP="0010342A">
      <w:pPr>
        <w:pStyle w:val="DHHSbody"/>
        <w:rPr>
          <w:rFonts w:cs="Arial"/>
        </w:rPr>
      </w:pPr>
      <w:r w:rsidRPr="00C50FC2">
        <w:rPr>
          <w:rFonts w:cs="Arial"/>
        </w:rPr>
        <w:t>The DirectLine service f</w:t>
      </w:r>
      <w:r>
        <w:rPr>
          <w:rFonts w:cs="Arial"/>
        </w:rPr>
        <w:t>inder is also</w:t>
      </w:r>
      <w:r w:rsidRPr="00C50FC2">
        <w:rPr>
          <w:rFonts w:cs="Arial"/>
        </w:rPr>
        <w:t xml:space="preserve"> accessible at &lt;</w:t>
      </w:r>
      <w:hyperlink r:id="rId20" w:history="1">
        <w:r w:rsidRPr="00C50FC2">
          <w:rPr>
            <w:rStyle w:val="Hyperlink"/>
            <w:rFonts w:cs="Arial"/>
          </w:rPr>
          <w:t>www.directline.org.au/service-finder</w:t>
        </w:r>
      </w:hyperlink>
      <w:r>
        <w:rPr>
          <w:rFonts w:cs="Arial"/>
        </w:rPr>
        <w:t>&gt;.</w:t>
      </w:r>
    </w:p>
    <w:p w:rsidR="0010342A" w:rsidRDefault="0010342A" w:rsidP="0010342A">
      <w:pPr>
        <w:pStyle w:val="DHHSbullet1"/>
        <w:numPr>
          <w:ilvl w:val="0"/>
          <w:numId w:val="0"/>
        </w:numPr>
        <w:tabs>
          <w:tab w:val="left" w:pos="1110"/>
        </w:tabs>
        <w:ind w:left="284" w:hanging="284"/>
        <w:rPr>
          <w:rFonts w:cs="Arial"/>
        </w:rPr>
      </w:pPr>
      <w:r w:rsidRPr="00FE6EED">
        <w:rPr>
          <w:rFonts w:cs="Arial"/>
        </w:rPr>
        <w:t xml:space="preserve">Other </w:t>
      </w:r>
      <w:r>
        <w:rPr>
          <w:rFonts w:cs="Arial"/>
        </w:rPr>
        <w:t xml:space="preserve">important </w:t>
      </w:r>
      <w:r w:rsidRPr="00FE6EED">
        <w:rPr>
          <w:rFonts w:cs="Arial"/>
        </w:rPr>
        <w:t>stat</w:t>
      </w:r>
      <w:r>
        <w:rPr>
          <w:rFonts w:cs="Arial"/>
        </w:rPr>
        <w:t>ewide contacts are listed below.</w:t>
      </w:r>
    </w:p>
    <w:tbl>
      <w:tblPr>
        <w:tblpPr w:leftFromText="180" w:rightFromText="180" w:vertAnchor="text" w:horzAnchor="margin" w:tblpXSpec="center" w:tblpY="153"/>
        <w:tblW w:w="5000" w:type="pct"/>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084"/>
        <w:gridCol w:w="1986"/>
        <w:gridCol w:w="5350"/>
      </w:tblGrid>
      <w:tr w:rsidR="0010342A" w:rsidRPr="00B773D5" w:rsidTr="0010342A">
        <w:tc>
          <w:tcPr>
            <w:tcW w:w="1480" w:type="pct"/>
            <w:shd w:val="clear" w:color="auto" w:fill="87189D"/>
          </w:tcPr>
          <w:p w:rsidR="0010342A" w:rsidRPr="007333AC" w:rsidRDefault="0010342A" w:rsidP="00961CAC">
            <w:pPr>
              <w:pStyle w:val="DHHStabletext"/>
              <w:rPr>
                <w:rFonts w:cs="Arial"/>
                <w:b/>
                <w:color w:val="FFFFFF"/>
              </w:rPr>
            </w:pPr>
            <w:r w:rsidRPr="007333AC">
              <w:rPr>
                <w:rFonts w:cs="Arial"/>
                <w:b/>
                <w:color w:val="FFFFFF"/>
              </w:rPr>
              <w:t>Service</w:t>
            </w:r>
          </w:p>
        </w:tc>
        <w:tc>
          <w:tcPr>
            <w:tcW w:w="953" w:type="pct"/>
            <w:shd w:val="clear" w:color="auto" w:fill="87189D"/>
          </w:tcPr>
          <w:p w:rsidR="0010342A" w:rsidRPr="007333AC" w:rsidRDefault="0010342A" w:rsidP="00961CAC">
            <w:pPr>
              <w:pStyle w:val="DHHStabletext"/>
              <w:rPr>
                <w:rFonts w:cs="Arial"/>
                <w:b/>
                <w:color w:val="FFFFFF"/>
              </w:rPr>
            </w:pPr>
            <w:r w:rsidRPr="007333AC">
              <w:rPr>
                <w:rFonts w:cs="Arial"/>
                <w:b/>
                <w:color w:val="FFFFFF"/>
              </w:rPr>
              <w:t>Contact</w:t>
            </w:r>
          </w:p>
        </w:tc>
        <w:tc>
          <w:tcPr>
            <w:tcW w:w="2567" w:type="pct"/>
            <w:shd w:val="clear" w:color="auto" w:fill="87189D"/>
          </w:tcPr>
          <w:p w:rsidR="0010342A" w:rsidRPr="007333AC" w:rsidRDefault="0010342A" w:rsidP="00961CAC">
            <w:pPr>
              <w:pStyle w:val="DHHStabletext"/>
              <w:rPr>
                <w:rFonts w:cs="Arial"/>
                <w:b/>
                <w:color w:val="FFFFFF"/>
              </w:rPr>
            </w:pPr>
            <w:r w:rsidRPr="007333AC">
              <w:rPr>
                <w:rFonts w:cs="Arial"/>
                <w:b/>
                <w:color w:val="FFFFFF"/>
              </w:rPr>
              <w:t>Provider</w:t>
            </w:r>
          </w:p>
        </w:tc>
      </w:tr>
      <w:tr w:rsidR="0010342A" w:rsidRPr="00B773D5" w:rsidTr="00961CAC">
        <w:tc>
          <w:tcPr>
            <w:tcW w:w="1480" w:type="pct"/>
          </w:tcPr>
          <w:p w:rsidR="0010342A" w:rsidRPr="00B773D5" w:rsidRDefault="0010342A" w:rsidP="00961CAC">
            <w:pPr>
              <w:pStyle w:val="DHHStabletext"/>
              <w:rPr>
                <w:rFonts w:cs="Arial"/>
              </w:rPr>
            </w:pPr>
            <w:r>
              <w:rPr>
                <w:rFonts w:cs="Arial"/>
              </w:rPr>
              <w:t>Youth Drug and</w:t>
            </w:r>
            <w:r w:rsidRPr="00B773D5">
              <w:rPr>
                <w:rFonts w:cs="Arial"/>
              </w:rPr>
              <w:t xml:space="preserve"> Alcohol Advice (</w:t>
            </w:r>
            <w:proofErr w:type="spellStart"/>
            <w:r w:rsidRPr="00B773D5">
              <w:rPr>
                <w:rFonts w:cs="Arial"/>
              </w:rPr>
              <w:t>YoDAA</w:t>
            </w:r>
            <w:proofErr w:type="spellEnd"/>
            <w:r w:rsidRPr="00B773D5">
              <w:rPr>
                <w:rFonts w:cs="Arial"/>
              </w:rPr>
              <w:t xml:space="preserve">)  </w:t>
            </w:r>
          </w:p>
        </w:tc>
        <w:tc>
          <w:tcPr>
            <w:tcW w:w="953" w:type="pct"/>
          </w:tcPr>
          <w:p w:rsidR="0010342A" w:rsidRPr="00B773D5" w:rsidRDefault="0010342A" w:rsidP="00961CAC">
            <w:pPr>
              <w:pStyle w:val="DHHStabletext"/>
              <w:rPr>
                <w:rFonts w:cs="Arial"/>
              </w:rPr>
            </w:pPr>
            <w:r w:rsidRPr="00B773D5">
              <w:rPr>
                <w:rFonts w:cs="Arial"/>
              </w:rPr>
              <w:t>1800 458 685</w:t>
            </w:r>
          </w:p>
        </w:tc>
        <w:tc>
          <w:tcPr>
            <w:tcW w:w="2567" w:type="pct"/>
          </w:tcPr>
          <w:p w:rsidR="0010342A" w:rsidRPr="00B773D5" w:rsidRDefault="0010342A" w:rsidP="00961CAC">
            <w:pPr>
              <w:pStyle w:val="DHHStabletext"/>
              <w:rPr>
                <w:rFonts w:cs="Arial"/>
              </w:rPr>
            </w:pPr>
            <w:r w:rsidRPr="00B773D5">
              <w:rPr>
                <w:rFonts w:cs="Arial"/>
              </w:rPr>
              <w:t>Youth Support and Advocacy Service (YSAS)</w:t>
            </w:r>
          </w:p>
        </w:tc>
      </w:tr>
      <w:tr w:rsidR="0010342A" w:rsidRPr="00B773D5" w:rsidTr="00961CAC">
        <w:tc>
          <w:tcPr>
            <w:tcW w:w="1480" w:type="pct"/>
          </w:tcPr>
          <w:p w:rsidR="0010342A" w:rsidRPr="00B773D5" w:rsidRDefault="0010342A" w:rsidP="00961CAC">
            <w:pPr>
              <w:pStyle w:val="DHHStabletext"/>
              <w:rPr>
                <w:rFonts w:cs="Arial"/>
              </w:rPr>
            </w:pPr>
            <w:r w:rsidRPr="00B773D5">
              <w:rPr>
                <w:rFonts w:cs="Arial"/>
              </w:rPr>
              <w:t>Family Drug Help</w:t>
            </w:r>
          </w:p>
        </w:tc>
        <w:tc>
          <w:tcPr>
            <w:tcW w:w="953" w:type="pct"/>
          </w:tcPr>
          <w:p w:rsidR="0010342A" w:rsidRPr="00B773D5" w:rsidRDefault="0010342A" w:rsidP="00961CAC">
            <w:pPr>
              <w:pStyle w:val="DHHStabletext"/>
              <w:rPr>
                <w:rFonts w:cs="Arial"/>
              </w:rPr>
            </w:pPr>
            <w:r w:rsidRPr="00B773D5">
              <w:rPr>
                <w:rFonts w:cs="Arial"/>
                <w:shd w:val="clear" w:color="auto" w:fill="FFFFFF"/>
              </w:rPr>
              <w:t>1300 660 068</w:t>
            </w:r>
          </w:p>
        </w:tc>
        <w:tc>
          <w:tcPr>
            <w:tcW w:w="2567" w:type="pct"/>
          </w:tcPr>
          <w:p w:rsidR="0010342A" w:rsidRPr="00B773D5" w:rsidRDefault="0010342A" w:rsidP="00961CAC">
            <w:pPr>
              <w:pStyle w:val="DHHStabletext"/>
              <w:rPr>
                <w:rFonts w:cs="Arial"/>
              </w:rPr>
            </w:pPr>
            <w:r w:rsidRPr="00B773D5">
              <w:rPr>
                <w:rFonts w:cs="Arial"/>
              </w:rPr>
              <w:t>Self Help Addiction Resource Centre (SHARC)</w:t>
            </w:r>
          </w:p>
        </w:tc>
      </w:tr>
      <w:tr w:rsidR="00330208" w:rsidRPr="00B773D5" w:rsidTr="00961CAC">
        <w:tc>
          <w:tcPr>
            <w:tcW w:w="1480" w:type="pct"/>
          </w:tcPr>
          <w:p w:rsidR="00330208" w:rsidRPr="00B773D5" w:rsidRDefault="00330208" w:rsidP="00961CAC">
            <w:pPr>
              <w:pStyle w:val="DHHStabletext"/>
              <w:rPr>
                <w:rFonts w:cs="Arial"/>
              </w:rPr>
            </w:pPr>
            <w:r>
              <w:rPr>
                <w:rFonts w:cs="Arial"/>
              </w:rPr>
              <w:t xml:space="preserve">Tandem </w:t>
            </w:r>
          </w:p>
        </w:tc>
        <w:tc>
          <w:tcPr>
            <w:tcW w:w="953" w:type="pct"/>
          </w:tcPr>
          <w:p w:rsidR="00330208" w:rsidRPr="00B773D5" w:rsidRDefault="00330208" w:rsidP="00961CAC">
            <w:pPr>
              <w:pStyle w:val="DHHStabletext"/>
              <w:rPr>
                <w:rFonts w:cs="Arial"/>
                <w:shd w:val="clear" w:color="auto" w:fill="FFFFFF"/>
              </w:rPr>
            </w:pPr>
            <w:r w:rsidRPr="00330208">
              <w:rPr>
                <w:rFonts w:cs="Arial"/>
                <w:shd w:val="clear" w:color="auto" w:fill="FFFFFF"/>
              </w:rPr>
              <w:t>03 8803 5501</w:t>
            </w:r>
          </w:p>
        </w:tc>
        <w:tc>
          <w:tcPr>
            <w:tcW w:w="2567" w:type="pct"/>
          </w:tcPr>
          <w:p w:rsidR="00330208" w:rsidRPr="00B773D5" w:rsidRDefault="00330208" w:rsidP="00961CAC">
            <w:pPr>
              <w:pStyle w:val="DHHStabletext"/>
              <w:rPr>
                <w:rFonts w:cs="Arial"/>
              </w:rPr>
            </w:pPr>
            <w:r>
              <w:rPr>
                <w:rFonts w:cs="Arial"/>
              </w:rPr>
              <w:t xml:space="preserve">Tandem </w:t>
            </w:r>
            <w:r w:rsidRPr="00330208">
              <w:rPr>
                <w:rFonts w:cs="Arial"/>
              </w:rPr>
              <w:t>M</w:t>
            </w:r>
            <w:r>
              <w:rPr>
                <w:rFonts w:cs="Arial"/>
              </w:rPr>
              <w:t>ental Health Carers in Victoria</w:t>
            </w:r>
          </w:p>
        </w:tc>
      </w:tr>
    </w:tbl>
    <w:p w:rsidR="00EF4F89" w:rsidRPr="00EF4F89" w:rsidRDefault="00EF4F89" w:rsidP="00EF4F89">
      <w:pPr>
        <w:pStyle w:val="Heading4"/>
      </w:pPr>
      <w:r w:rsidRPr="00EF4F89">
        <w:t>Department resources online</w:t>
      </w:r>
    </w:p>
    <w:p w:rsidR="0010342A" w:rsidRDefault="0010342A" w:rsidP="0010342A">
      <w:pPr>
        <w:pStyle w:val="DHHSbody"/>
        <w:rPr>
          <w:lang w:eastAsia="en-AU"/>
        </w:rPr>
      </w:pPr>
      <w:r w:rsidRPr="008628A5">
        <w:rPr>
          <w:rStyle w:val="DHHSBodyChar0"/>
        </w:rPr>
        <w:t xml:space="preserve">The Department of Health and Human Services’ </w:t>
      </w:r>
      <w:r w:rsidRPr="00956571">
        <w:rPr>
          <w:rStyle w:val="DHHSBodyChar0"/>
          <w:i/>
        </w:rPr>
        <w:t>Alcohol and other drugs program guidelines</w:t>
      </w:r>
      <w:r w:rsidRPr="008628A5">
        <w:rPr>
          <w:rStyle w:val="DHHSBodyChar0"/>
        </w:rPr>
        <w:t xml:space="preserve"> describe the objectives and functions of the Victorian alcohol and other drug treatment system, and are available for download from the department’s</w:t>
      </w:r>
      <w:r>
        <w:rPr>
          <w:lang w:eastAsia="en-AU"/>
        </w:rPr>
        <w:t xml:space="preserve"> website at &lt;</w:t>
      </w:r>
      <w:hyperlink r:id="rId21" w:history="1">
        <w:r w:rsidRPr="00497090">
          <w:rPr>
            <w:rStyle w:val="Hyperlink"/>
            <w:lang w:eastAsia="en-AU"/>
          </w:rPr>
          <w:t>www2.health.vic.gov.au/alcohol-and-drugs/aod-service-standards-guidelines/aod-program-guidelines</w:t>
        </w:r>
      </w:hyperlink>
      <w:r>
        <w:rPr>
          <w:lang w:eastAsia="en-AU"/>
        </w:rPr>
        <w:t>&gt;.</w:t>
      </w:r>
    </w:p>
    <w:p w:rsidR="00EF4F89" w:rsidRDefault="00330208" w:rsidP="00EF4F89">
      <w:pPr>
        <w:pStyle w:val="DHHSbody"/>
      </w:pPr>
      <w:r>
        <w:rPr>
          <w:lang w:eastAsia="en-AU"/>
        </w:rPr>
        <w:t xml:space="preserve">A factsheet </w:t>
      </w:r>
      <w:r w:rsidRPr="00330208">
        <w:rPr>
          <w:i/>
          <w:lang w:eastAsia="en-AU"/>
        </w:rPr>
        <w:t>About Residential Rehabilitation</w:t>
      </w:r>
      <w:r>
        <w:rPr>
          <w:lang w:eastAsia="en-AU"/>
        </w:rPr>
        <w:t xml:space="preserve"> is available at &lt;</w:t>
      </w:r>
      <w:hyperlink r:id="rId22" w:history="1">
        <w:r w:rsidRPr="007F15C2">
          <w:rPr>
            <w:rStyle w:val="Hyperlink"/>
          </w:rPr>
          <w:t>www2.health.vic.gov.au/alcohol-and-drugs/aod-treatment-services/aod-residential-treatment</w:t>
        </w:r>
      </w:hyperlink>
      <w:r w:rsidRPr="00792979">
        <w:rPr>
          <w:color w:val="000000" w:themeColor="text1"/>
        </w:rPr>
        <w:t>&gt;</w:t>
      </w:r>
      <w:r>
        <w:rPr>
          <w:color w:val="000000" w:themeColor="text1"/>
        </w:rPr>
        <w:t>.</w:t>
      </w:r>
      <w:r w:rsidR="00EF4F89" w:rsidRPr="00EF4F89">
        <w:t xml:space="preserve"> </w:t>
      </w:r>
    </w:p>
    <w:tbl>
      <w:tblPr>
        <w:tblpPr w:leftFromText="180" w:rightFromText="180" w:vertAnchor="text" w:horzAnchor="margin" w:tblpY="1351"/>
        <w:tblW w:w="4962" w:type="pct"/>
        <w:tblCellMar>
          <w:top w:w="113" w:type="dxa"/>
          <w:bottom w:w="57" w:type="dxa"/>
        </w:tblCellMar>
        <w:tblLook w:val="00A0" w:firstRow="1" w:lastRow="0" w:firstColumn="1" w:lastColumn="0" w:noHBand="0" w:noVBand="0"/>
      </w:tblPr>
      <w:tblGrid>
        <w:gridCol w:w="10341"/>
      </w:tblGrid>
      <w:tr w:rsidR="007D7484" w:rsidRPr="002802E3" w:rsidTr="007D7484">
        <w:trPr>
          <w:cantSplit/>
          <w:trHeight w:val="1855"/>
        </w:trPr>
        <w:tc>
          <w:tcPr>
            <w:tcW w:w="5000" w:type="pct"/>
            <w:tcBorders>
              <w:top w:val="single" w:sz="4" w:space="0" w:color="auto"/>
              <w:left w:val="single" w:sz="4" w:space="0" w:color="auto"/>
              <w:bottom w:val="single" w:sz="4" w:space="0" w:color="auto"/>
              <w:right w:val="single" w:sz="4" w:space="0" w:color="auto"/>
            </w:tcBorders>
            <w:vAlign w:val="bottom"/>
          </w:tcPr>
          <w:p w:rsidR="007D7484" w:rsidRPr="00124C00" w:rsidRDefault="007D7484" w:rsidP="007D7484">
            <w:pPr>
              <w:pStyle w:val="DHHSaccessibilitypara"/>
            </w:pPr>
            <w:r w:rsidRPr="00124C00">
              <w:t xml:space="preserve">To receive this publication in an accessible format phone 9096 0000 using the National Relay Service 13 36 77 if required, or email </w:t>
            </w:r>
            <w:hyperlink r:id="rId23" w:history="1">
              <w:r w:rsidRPr="00566785">
                <w:rPr>
                  <w:rStyle w:val="Hyperlink"/>
                </w:rPr>
                <w:t>aod.enquiries@dhhs.vic.gov.au</w:t>
              </w:r>
            </w:hyperlink>
          </w:p>
          <w:p w:rsidR="007D7484" w:rsidRPr="00124C00" w:rsidRDefault="007D7484" w:rsidP="007D7484">
            <w:pPr>
              <w:pStyle w:val="DHHSbody"/>
            </w:pPr>
            <w:r w:rsidRPr="00124C00">
              <w:t>Authorised and published by the Victorian Government, 1 Treasury Place, Melbourne.</w:t>
            </w:r>
          </w:p>
          <w:p w:rsidR="007D7484" w:rsidRPr="00124C00" w:rsidRDefault="007D7484" w:rsidP="007D7484">
            <w:pPr>
              <w:pStyle w:val="DHHSbody"/>
            </w:pPr>
            <w:r w:rsidRPr="00124C00">
              <w:t>© State of Victoria, Department of Health and Human Services</w:t>
            </w:r>
            <w:r>
              <w:t>,</w:t>
            </w:r>
            <w:r w:rsidRPr="00124C00">
              <w:t xml:space="preserve"> </w:t>
            </w:r>
            <w:r w:rsidR="00E8515D">
              <w:t>April</w:t>
            </w:r>
            <w:bookmarkStart w:id="1" w:name="_GoBack"/>
            <w:bookmarkEnd w:id="1"/>
            <w:r>
              <w:t xml:space="preserve"> 2018</w:t>
            </w:r>
            <w:r w:rsidRPr="00124C00">
              <w:t>.</w:t>
            </w:r>
          </w:p>
          <w:p w:rsidR="007D7484" w:rsidRPr="002802E3" w:rsidRDefault="007D7484" w:rsidP="007D7484">
            <w:pPr>
              <w:pStyle w:val="DHHSbody"/>
            </w:pPr>
            <w:r w:rsidRPr="00124C00">
              <w:rPr>
                <w:szCs w:val="19"/>
              </w:rPr>
              <w:t xml:space="preserve">Available at </w:t>
            </w:r>
            <w:r>
              <w:t xml:space="preserve"> </w:t>
            </w:r>
            <w:hyperlink r:id="rId24" w:history="1">
              <w:r w:rsidRPr="007F15C2">
                <w:rPr>
                  <w:rStyle w:val="Hyperlink"/>
                </w:rPr>
                <w:t>www2.health.vic.gov.au/alcohol-and-drugs/aod-treatment-services/aod-residential-treatment</w:t>
              </w:r>
            </w:hyperlink>
            <w:r>
              <w:t xml:space="preserve"> </w:t>
            </w:r>
          </w:p>
        </w:tc>
      </w:tr>
    </w:tbl>
    <w:p w:rsidR="0010342A" w:rsidRPr="00906490" w:rsidRDefault="00EF4F89" w:rsidP="007D7484">
      <w:pPr>
        <w:pStyle w:val="DHHSbody"/>
      </w:pPr>
      <w:r>
        <w:t xml:space="preserve">The Victorian Dual Diagnosis Initiative </w:t>
      </w:r>
      <w:r w:rsidR="007D7484">
        <w:t xml:space="preserve">is a cross-sector </w:t>
      </w:r>
      <w:r>
        <w:t xml:space="preserve">initiative funded by the </w:t>
      </w:r>
      <w:r w:rsidR="007D7484">
        <w:t>department</w:t>
      </w:r>
      <w:r>
        <w:t xml:space="preserve"> to contribute to the further development of mental health and drug and alcohol clinicians, agencies and sector’s capacity to recognise and respond effectively to people with dual diagnosis. More information about dual diagnosis is available at &lt;</w:t>
      </w:r>
      <w:hyperlink r:id="rId25" w:history="1">
        <w:r w:rsidRPr="00C979E1">
          <w:rPr>
            <w:rStyle w:val="Hyperlink"/>
          </w:rPr>
          <w:t>https://www2.health.vic.gov.au/mental-health/practice-and-service-quality/specialist-responses/dual-diagnosis</w:t>
        </w:r>
      </w:hyperlink>
      <w:r>
        <w:t>&gt;</w:t>
      </w:r>
      <w:r w:rsidR="007D7484">
        <w:t>.</w:t>
      </w:r>
    </w:p>
    <w:sectPr w:rsidR="0010342A" w:rsidRPr="00906490" w:rsidSect="00566785">
      <w:headerReference w:type="default" r:id="rId26"/>
      <w:footerReference w:type="default" r:id="rId2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97" w:rsidRDefault="00080997">
      <w:r>
        <w:separator/>
      </w:r>
    </w:p>
  </w:endnote>
  <w:endnote w:type="continuationSeparator" w:id="0">
    <w:p w:rsidR="00080997" w:rsidRDefault="0008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E0" w:rsidRPr="00F65AA9" w:rsidRDefault="00FC7EE0" w:rsidP="0051568D">
    <w:pPr>
      <w:pStyle w:val="DHHSfooter"/>
    </w:pPr>
    <w:r>
      <w:rPr>
        <w:noProof/>
        <w:lang w:eastAsia="en-AU"/>
      </w:rPr>
      <w:drawing>
        <wp:anchor distT="0" distB="0" distL="114300" distR="114300" simplePos="0" relativeHeight="251659264" behindDoc="0" locked="1" layoutInCell="0" allowOverlap="1" wp14:anchorId="537F1B65" wp14:editId="4E4AD20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37309"/>
      <w:docPartObj>
        <w:docPartGallery w:val="Page Numbers (Bottom of Page)"/>
        <w:docPartUnique/>
      </w:docPartObj>
    </w:sdtPr>
    <w:sdtEndPr>
      <w:rPr>
        <w:noProof/>
      </w:rPr>
    </w:sdtEndPr>
    <w:sdtContent>
      <w:p w:rsidR="00FC7EE0" w:rsidRPr="000B4088" w:rsidRDefault="00576EE8" w:rsidP="000B4088">
        <w:pPr>
          <w:pStyle w:val="DHHSfooter"/>
        </w:pPr>
        <w:r>
          <w:t xml:space="preserve">Factsheet </w:t>
        </w:r>
        <w:r w:rsidR="005B754C">
          <w:t>April</w:t>
        </w:r>
        <w:r>
          <w:t xml:space="preserve"> 2018 – Dual Diagnosis Residential Rehabilitation</w:t>
        </w:r>
        <w:r w:rsidR="00FC7EE0" w:rsidRPr="00A11421">
          <w:tab/>
        </w:r>
        <w:r w:rsidR="00FC7EE0" w:rsidRPr="00A11421">
          <w:fldChar w:fldCharType="begin"/>
        </w:r>
        <w:r w:rsidR="00FC7EE0" w:rsidRPr="00A11421">
          <w:instrText xml:space="preserve"> PAGE </w:instrText>
        </w:r>
        <w:r w:rsidR="00FC7EE0" w:rsidRPr="00A11421">
          <w:fldChar w:fldCharType="separate"/>
        </w:r>
        <w:r w:rsidR="005B754C">
          <w:rPr>
            <w:noProof/>
          </w:rPr>
          <w:t>5</w:t>
        </w:r>
        <w:r w:rsidR="00FC7EE0" w:rsidRPr="00A11421">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C81332" w:rsidRDefault="00576EE8" w:rsidP="00C81332">
    <w:pPr>
      <w:pStyle w:val="DHHSfooter"/>
    </w:pPr>
    <w:r>
      <w:t>Factsheet March 2018 – Dual Diagnosis Residential Rehabilitation</w:t>
    </w:r>
    <w:r w:rsidR="00C81332" w:rsidRPr="00A11421">
      <w:tab/>
    </w:r>
    <w:r w:rsidR="00C81332" w:rsidRPr="00A11421">
      <w:fldChar w:fldCharType="begin"/>
    </w:r>
    <w:r w:rsidR="00C81332" w:rsidRPr="00A11421">
      <w:instrText xml:space="preserve"> PAGE </w:instrText>
    </w:r>
    <w:r w:rsidR="00C81332" w:rsidRPr="00A11421">
      <w:fldChar w:fldCharType="separate"/>
    </w:r>
    <w:r w:rsidR="00EC4447">
      <w:rPr>
        <w:noProof/>
      </w:rPr>
      <w:t>4</w:t>
    </w:r>
    <w:r w:rsidR="00C81332" w:rsidRPr="00A1142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2A" w:rsidRPr="00503BB0" w:rsidRDefault="0010342A" w:rsidP="00503BB0">
    <w:pPr>
      <w:pStyle w:val="DHHSfooter"/>
    </w:pPr>
    <w:r>
      <w:t>Factsheet – Residential Rehabilitation</w:t>
    </w:r>
    <w:r w:rsidRPr="00A11421">
      <w:tab/>
    </w:r>
    <w:r w:rsidRPr="00A11421">
      <w:fldChar w:fldCharType="begin"/>
    </w:r>
    <w:r w:rsidRPr="00A11421">
      <w:instrText xml:space="preserve"> PAGE </w:instrText>
    </w:r>
    <w:r w:rsidRPr="00A11421">
      <w:fldChar w:fldCharType="separate"/>
    </w:r>
    <w:r>
      <w:rPr>
        <w:noProof/>
      </w:rPr>
      <w:t>4</w:t>
    </w:r>
    <w:r w:rsidRPr="00A1142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69287"/>
      <w:docPartObj>
        <w:docPartGallery w:val="Page Numbers (Bottom of Page)"/>
        <w:docPartUnique/>
      </w:docPartObj>
    </w:sdtPr>
    <w:sdtEndPr>
      <w:rPr>
        <w:noProof/>
      </w:rPr>
    </w:sdtEndPr>
    <w:sdtContent>
      <w:p w:rsidR="009D70A4" w:rsidRPr="00B53362" w:rsidRDefault="00B53362" w:rsidP="00B53362">
        <w:pPr>
          <w:pStyle w:val="DHHSfooter"/>
        </w:pPr>
        <w:r w:rsidRPr="00A11421">
          <w:tab/>
        </w:r>
        <w:r w:rsidRPr="00A11421">
          <w:fldChar w:fldCharType="begin"/>
        </w:r>
        <w:r w:rsidRPr="00A11421">
          <w:instrText xml:space="preserve"> PAGE </w:instrText>
        </w:r>
        <w:r w:rsidRPr="00A11421">
          <w:fldChar w:fldCharType="separate"/>
        </w:r>
        <w:r w:rsidR="005B754C">
          <w:rPr>
            <w:noProof/>
          </w:rPr>
          <w:t>6</w:t>
        </w:r>
        <w:r w:rsidRPr="00A11421">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97" w:rsidRDefault="00080997" w:rsidP="002862F1">
      <w:pPr>
        <w:spacing w:before="120"/>
      </w:pPr>
      <w:r>
        <w:separator/>
      </w:r>
    </w:p>
  </w:footnote>
  <w:footnote w:type="continuationSeparator" w:id="0">
    <w:p w:rsidR="00080997" w:rsidRDefault="0008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2A" w:rsidRPr="0051568D" w:rsidRDefault="0010342A"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A417E05"/>
    <w:multiLevelType w:val="hybridMultilevel"/>
    <w:tmpl w:val="B948B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D43DB"/>
    <w:multiLevelType w:val="multilevel"/>
    <w:tmpl w:val="4B4E7622"/>
    <w:numStyleLink w:val="ZZNumbers"/>
  </w:abstractNum>
  <w:abstractNum w:abstractNumId="4">
    <w:nsid w:val="15656916"/>
    <w:multiLevelType w:val="hybridMultilevel"/>
    <w:tmpl w:val="63B6C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D70CCF"/>
    <w:multiLevelType w:val="hybridMultilevel"/>
    <w:tmpl w:val="3E8A81D6"/>
    <w:lvl w:ilvl="0" w:tplc="FDFEA42E">
      <w:start w:val="1"/>
      <w:numFmt w:val="decimal"/>
      <w:pStyle w:val="DHHSNumberText"/>
      <w:lvlText w:val="%1."/>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2"/>
  </w:num>
  <w:num w:numId="11">
    <w:abstractNumId w:val="4"/>
  </w:num>
  <w:num w:numId="12">
    <w:abstractNumId w:val="7"/>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9"/>
    <w:rsid w:val="000019CB"/>
    <w:rsid w:val="0000331C"/>
    <w:rsid w:val="000072B6"/>
    <w:rsid w:val="0001021B"/>
    <w:rsid w:val="00011D89"/>
    <w:rsid w:val="00022E86"/>
    <w:rsid w:val="00024D89"/>
    <w:rsid w:val="000250B6"/>
    <w:rsid w:val="00033D81"/>
    <w:rsid w:val="00041BF0"/>
    <w:rsid w:val="0004536B"/>
    <w:rsid w:val="00046B68"/>
    <w:rsid w:val="000527DD"/>
    <w:rsid w:val="000578B2"/>
    <w:rsid w:val="00060959"/>
    <w:rsid w:val="000663CD"/>
    <w:rsid w:val="000733FE"/>
    <w:rsid w:val="00074219"/>
    <w:rsid w:val="00074ED5"/>
    <w:rsid w:val="00080997"/>
    <w:rsid w:val="0008325C"/>
    <w:rsid w:val="000834A0"/>
    <w:rsid w:val="00084792"/>
    <w:rsid w:val="0009113B"/>
    <w:rsid w:val="00094DA3"/>
    <w:rsid w:val="00096CD1"/>
    <w:rsid w:val="000A012C"/>
    <w:rsid w:val="000A0EB9"/>
    <w:rsid w:val="000A186C"/>
    <w:rsid w:val="000B392E"/>
    <w:rsid w:val="000B4088"/>
    <w:rsid w:val="000B543D"/>
    <w:rsid w:val="000B5BF7"/>
    <w:rsid w:val="000B6BC8"/>
    <w:rsid w:val="000C42EA"/>
    <w:rsid w:val="000C4546"/>
    <w:rsid w:val="000D1242"/>
    <w:rsid w:val="000E02CD"/>
    <w:rsid w:val="000E3CC7"/>
    <w:rsid w:val="000E6BD4"/>
    <w:rsid w:val="000F1F1E"/>
    <w:rsid w:val="000F2259"/>
    <w:rsid w:val="001026EB"/>
    <w:rsid w:val="0010342A"/>
    <w:rsid w:val="0010392D"/>
    <w:rsid w:val="0010447F"/>
    <w:rsid w:val="00104FE3"/>
    <w:rsid w:val="00107D2D"/>
    <w:rsid w:val="001130D2"/>
    <w:rsid w:val="00120BD3"/>
    <w:rsid w:val="00122FEA"/>
    <w:rsid w:val="001232BD"/>
    <w:rsid w:val="00124ED5"/>
    <w:rsid w:val="0012700A"/>
    <w:rsid w:val="00131320"/>
    <w:rsid w:val="00141E12"/>
    <w:rsid w:val="001447B3"/>
    <w:rsid w:val="00146186"/>
    <w:rsid w:val="00152073"/>
    <w:rsid w:val="001610A5"/>
    <w:rsid w:val="00161939"/>
    <w:rsid w:val="00161AA0"/>
    <w:rsid w:val="00162093"/>
    <w:rsid w:val="001650D1"/>
    <w:rsid w:val="001771DD"/>
    <w:rsid w:val="00177995"/>
    <w:rsid w:val="00177A8C"/>
    <w:rsid w:val="00180675"/>
    <w:rsid w:val="00186B33"/>
    <w:rsid w:val="00192F9D"/>
    <w:rsid w:val="00194650"/>
    <w:rsid w:val="00196EB8"/>
    <w:rsid w:val="00196EFB"/>
    <w:rsid w:val="001979FF"/>
    <w:rsid w:val="00197B17"/>
    <w:rsid w:val="001A3ACE"/>
    <w:rsid w:val="001C1C2C"/>
    <w:rsid w:val="001C277E"/>
    <w:rsid w:val="001C2A72"/>
    <w:rsid w:val="001D0B75"/>
    <w:rsid w:val="001D3C09"/>
    <w:rsid w:val="001D44E8"/>
    <w:rsid w:val="001D4603"/>
    <w:rsid w:val="001D60EC"/>
    <w:rsid w:val="001E0B33"/>
    <w:rsid w:val="001E44DF"/>
    <w:rsid w:val="001E68A5"/>
    <w:rsid w:val="001E6BB0"/>
    <w:rsid w:val="001E6D47"/>
    <w:rsid w:val="001E74D1"/>
    <w:rsid w:val="001F3111"/>
    <w:rsid w:val="001F3826"/>
    <w:rsid w:val="001F6E46"/>
    <w:rsid w:val="001F7C91"/>
    <w:rsid w:val="00203984"/>
    <w:rsid w:val="00206463"/>
    <w:rsid w:val="00206F2F"/>
    <w:rsid w:val="0021053D"/>
    <w:rsid w:val="00210A74"/>
    <w:rsid w:val="00210A92"/>
    <w:rsid w:val="0021275A"/>
    <w:rsid w:val="00216C03"/>
    <w:rsid w:val="00220C04"/>
    <w:rsid w:val="00222124"/>
    <w:rsid w:val="0022278D"/>
    <w:rsid w:val="002258EF"/>
    <w:rsid w:val="002269BA"/>
    <w:rsid w:val="0022701F"/>
    <w:rsid w:val="00231B90"/>
    <w:rsid w:val="002333F5"/>
    <w:rsid w:val="00233724"/>
    <w:rsid w:val="002432E1"/>
    <w:rsid w:val="00246207"/>
    <w:rsid w:val="00246C5E"/>
    <w:rsid w:val="00251343"/>
    <w:rsid w:val="00253E00"/>
    <w:rsid w:val="00254F58"/>
    <w:rsid w:val="00257482"/>
    <w:rsid w:val="002620BC"/>
    <w:rsid w:val="00262802"/>
    <w:rsid w:val="00263A90"/>
    <w:rsid w:val="0026408B"/>
    <w:rsid w:val="00267C3E"/>
    <w:rsid w:val="002709BB"/>
    <w:rsid w:val="002763B3"/>
    <w:rsid w:val="002802E3"/>
    <w:rsid w:val="0028213D"/>
    <w:rsid w:val="0028291A"/>
    <w:rsid w:val="00285C61"/>
    <w:rsid w:val="002862F1"/>
    <w:rsid w:val="00290CF8"/>
    <w:rsid w:val="00291373"/>
    <w:rsid w:val="0029597D"/>
    <w:rsid w:val="002962C3"/>
    <w:rsid w:val="0029752B"/>
    <w:rsid w:val="002A483C"/>
    <w:rsid w:val="002B1729"/>
    <w:rsid w:val="002B17AD"/>
    <w:rsid w:val="002B36C7"/>
    <w:rsid w:val="002B4DD4"/>
    <w:rsid w:val="002B5277"/>
    <w:rsid w:val="002B5375"/>
    <w:rsid w:val="002B77C1"/>
    <w:rsid w:val="002C1ADD"/>
    <w:rsid w:val="002C2728"/>
    <w:rsid w:val="002D44D1"/>
    <w:rsid w:val="002D5006"/>
    <w:rsid w:val="002E01D0"/>
    <w:rsid w:val="002E161D"/>
    <w:rsid w:val="002E230B"/>
    <w:rsid w:val="002E3100"/>
    <w:rsid w:val="002E3DFC"/>
    <w:rsid w:val="002E6C95"/>
    <w:rsid w:val="002E7C36"/>
    <w:rsid w:val="002F3FC1"/>
    <w:rsid w:val="002F5F31"/>
    <w:rsid w:val="002F5F46"/>
    <w:rsid w:val="002F65BE"/>
    <w:rsid w:val="00302216"/>
    <w:rsid w:val="00303E53"/>
    <w:rsid w:val="00306E5F"/>
    <w:rsid w:val="00307E14"/>
    <w:rsid w:val="00314054"/>
    <w:rsid w:val="00316F27"/>
    <w:rsid w:val="003260C2"/>
    <w:rsid w:val="00327870"/>
    <w:rsid w:val="00330208"/>
    <w:rsid w:val="00331412"/>
    <w:rsid w:val="00331F8A"/>
    <w:rsid w:val="0033259D"/>
    <w:rsid w:val="003406C6"/>
    <w:rsid w:val="003418CC"/>
    <w:rsid w:val="003459BD"/>
    <w:rsid w:val="00350231"/>
    <w:rsid w:val="00350D38"/>
    <w:rsid w:val="00351B36"/>
    <w:rsid w:val="00357B4E"/>
    <w:rsid w:val="00363B81"/>
    <w:rsid w:val="003656EE"/>
    <w:rsid w:val="00367116"/>
    <w:rsid w:val="003744CF"/>
    <w:rsid w:val="00374717"/>
    <w:rsid w:val="0037676C"/>
    <w:rsid w:val="003829E5"/>
    <w:rsid w:val="00385FDB"/>
    <w:rsid w:val="003925EE"/>
    <w:rsid w:val="003929F7"/>
    <w:rsid w:val="003956CC"/>
    <w:rsid w:val="00395C9A"/>
    <w:rsid w:val="003A322A"/>
    <w:rsid w:val="003A5101"/>
    <w:rsid w:val="003A677B"/>
    <w:rsid w:val="003A6B67"/>
    <w:rsid w:val="003B15E6"/>
    <w:rsid w:val="003B43C1"/>
    <w:rsid w:val="003C2045"/>
    <w:rsid w:val="003C43A1"/>
    <w:rsid w:val="003C4FC0"/>
    <w:rsid w:val="003C55F4"/>
    <w:rsid w:val="003C7A3F"/>
    <w:rsid w:val="003D2766"/>
    <w:rsid w:val="003D3E8F"/>
    <w:rsid w:val="003D6475"/>
    <w:rsid w:val="003E6087"/>
    <w:rsid w:val="003E6BD2"/>
    <w:rsid w:val="003F0445"/>
    <w:rsid w:val="003F0CF0"/>
    <w:rsid w:val="003F14B1"/>
    <w:rsid w:val="003F1500"/>
    <w:rsid w:val="003F3289"/>
    <w:rsid w:val="00401FCF"/>
    <w:rsid w:val="00406285"/>
    <w:rsid w:val="004148F9"/>
    <w:rsid w:val="004175AA"/>
    <w:rsid w:val="0042084E"/>
    <w:rsid w:val="00421EEF"/>
    <w:rsid w:val="00424D65"/>
    <w:rsid w:val="00430C94"/>
    <w:rsid w:val="0043636C"/>
    <w:rsid w:val="00436F66"/>
    <w:rsid w:val="00442C6C"/>
    <w:rsid w:val="00443CBE"/>
    <w:rsid w:val="00443E8A"/>
    <w:rsid w:val="004441BC"/>
    <w:rsid w:val="004468B4"/>
    <w:rsid w:val="00447FF2"/>
    <w:rsid w:val="00451340"/>
    <w:rsid w:val="0045230A"/>
    <w:rsid w:val="00457337"/>
    <w:rsid w:val="00460695"/>
    <w:rsid w:val="0047372D"/>
    <w:rsid w:val="004743DD"/>
    <w:rsid w:val="00474CEA"/>
    <w:rsid w:val="00483968"/>
    <w:rsid w:val="00484F86"/>
    <w:rsid w:val="00490746"/>
    <w:rsid w:val="00490852"/>
    <w:rsid w:val="00492F30"/>
    <w:rsid w:val="004946F4"/>
    <w:rsid w:val="0049487E"/>
    <w:rsid w:val="00497090"/>
    <w:rsid w:val="004A160D"/>
    <w:rsid w:val="004A3E81"/>
    <w:rsid w:val="004A5C62"/>
    <w:rsid w:val="004A707D"/>
    <w:rsid w:val="004A7672"/>
    <w:rsid w:val="004C5DAD"/>
    <w:rsid w:val="004C6EEE"/>
    <w:rsid w:val="004C702B"/>
    <w:rsid w:val="004D016B"/>
    <w:rsid w:val="004D1B22"/>
    <w:rsid w:val="004D36F2"/>
    <w:rsid w:val="004E138F"/>
    <w:rsid w:val="004E4649"/>
    <w:rsid w:val="004E5C2B"/>
    <w:rsid w:val="004F00DD"/>
    <w:rsid w:val="004F2133"/>
    <w:rsid w:val="004F55F1"/>
    <w:rsid w:val="004F6936"/>
    <w:rsid w:val="005009AF"/>
    <w:rsid w:val="0050298F"/>
    <w:rsid w:val="00503DC6"/>
    <w:rsid w:val="00506F5D"/>
    <w:rsid w:val="005126D0"/>
    <w:rsid w:val="0051568D"/>
    <w:rsid w:val="005175A3"/>
    <w:rsid w:val="00520BC0"/>
    <w:rsid w:val="00526C15"/>
    <w:rsid w:val="00526F26"/>
    <w:rsid w:val="00531176"/>
    <w:rsid w:val="00536499"/>
    <w:rsid w:val="00541B52"/>
    <w:rsid w:val="00543903"/>
    <w:rsid w:val="00543F11"/>
    <w:rsid w:val="00547A95"/>
    <w:rsid w:val="00566E40"/>
    <w:rsid w:val="00572031"/>
    <w:rsid w:val="005759D9"/>
    <w:rsid w:val="00576E84"/>
    <w:rsid w:val="00576EE8"/>
    <w:rsid w:val="005812DB"/>
    <w:rsid w:val="00581BC8"/>
    <w:rsid w:val="00582B8C"/>
    <w:rsid w:val="0058757E"/>
    <w:rsid w:val="0059512A"/>
    <w:rsid w:val="00596A4B"/>
    <w:rsid w:val="00597507"/>
    <w:rsid w:val="005A6F06"/>
    <w:rsid w:val="005B21B6"/>
    <w:rsid w:val="005B3A08"/>
    <w:rsid w:val="005B754C"/>
    <w:rsid w:val="005B7A63"/>
    <w:rsid w:val="005C0955"/>
    <w:rsid w:val="005C0F73"/>
    <w:rsid w:val="005C49DA"/>
    <w:rsid w:val="005C50F3"/>
    <w:rsid w:val="005C5D91"/>
    <w:rsid w:val="005D07B8"/>
    <w:rsid w:val="005D625A"/>
    <w:rsid w:val="005D6597"/>
    <w:rsid w:val="005D75D9"/>
    <w:rsid w:val="005E14E7"/>
    <w:rsid w:val="005E26A3"/>
    <w:rsid w:val="005E447E"/>
    <w:rsid w:val="005F0775"/>
    <w:rsid w:val="005F0CF5"/>
    <w:rsid w:val="005F21EB"/>
    <w:rsid w:val="005F778C"/>
    <w:rsid w:val="00605908"/>
    <w:rsid w:val="00610D7C"/>
    <w:rsid w:val="00613414"/>
    <w:rsid w:val="00621F39"/>
    <w:rsid w:val="0062408D"/>
    <w:rsid w:val="006240CC"/>
    <w:rsid w:val="00627DA7"/>
    <w:rsid w:val="006358B4"/>
    <w:rsid w:val="006419AA"/>
    <w:rsid w:val="00643B9E"/>
    <w:rsid w:val="00644B7E"/>
    <w:rsid w:val="006454E6"/>
    <w:rsid w:val="00646A68"/>
    <w:rsid w:val="0065092E"/>
    <w:rsid w:val="006557A7"/>
    <w:rsid w:val="00655B6F"/>
    <w:rsid w:val="00656290"/>
    <w:rsid w:val="006621D7"/>
    <w:rsid w:val="0066302A"/>
    <w:rsid w:val="00663662"/>
    <w:rsid w:val="00665A62"/>
    <w:rsid w:val="00670597"/>
    <w:rsid w:val="006706D0"/>
    <w:rsid w:val="00677574"/>
    <w:rsid w:val="00680BE3"/>
    <w:rsid w:val="0068353C"/>
    <w:rsid w:val="0068454C"/>
    <w:rsid w:val="006915A4"/>
    <w:rsid w:val="00691B62"/>
    <w:rsid w:val="006933B5"/>
    <w:rsid w:val="00693D14"/>
    <w:rsid w:val="006A18C2"/>
    <w:rsid w:val="006A7C57"/>
    <w:rsid w:val="006B077C"/>
    <w:rsid w:val="006B625C"/>
    <w:rsid w:val="006B6803"/>
    <w:rsid w:val="006D2A3F"/>
    <w:rsid w:val="006D2FBC"/>
    <w:rsid w:val="006E0B66"/>
    <w:rsid w:val="006E138B"/>
    <w:rsid w:val="006F1FDC"/>
    <w:rsid w:val="007013EF"/>
    <w:rsid w:val="00713596"/>
    <w:rsid w:val="007173CA"/>
    <w:rsid w:val="007216AA"/>
    <w:rsid w:val="00721AB5"/>
    <w:rsid w:val="00721DEF"/>
    <w:rsid w:val="00724A43"/>
    <w:rsid w:val="007331ED"/>
    <w:rsid w:val="007346E4"/>
    <w:rsid w:val="007404A1"/>
    <w:rsid w:val="00740F22"/>
    <w:rsid w:val="00741F1A"/>
    <w:rsid w:val="007450F8"/>
    <w:rsid w:val="0074696E"/>
    <w:rsid w:val="00750135"/>
    <w:rsid w:val="00750EC2"/>
    <w:rsid w:val="00752B28"/>
    <w:rsid w:val="00754E36"/>
    <w:rsid w:val="00763139"/>
    <w:rsid w:val="00764282"/>
    <w:rsid w:val="00770F37"/>
    <w:rsid w:val="007711A0"/>
    <w:rsid w:val="00772D5E"/>
    <w:rsid w:val="00776928"/>
    <w:rsid w:val="007775BF"/>
    <w:rsid w:val="007805D9"/>
    <w:rsid w:val="00784476"/>
    <w:rsid w:val="00785677"/>
    <w:rsid w:val="00786F16"/>
    <w:rsid w:val="00796E20"/>
    <w:rsid w:val="00797098"/>
    <w:rsid w:val="007976F6"/>
    <w:rsid w:val="00797C32"/>
    <w:rsid w:val="007B0914"/>
    <w:rsid w:val="007B1374"/>
    <w:rsid w:val="007B2708"/>
    <w:rsid w:val="007B589F"/>
    <w:rsid w:val="007B6186"/>
    <w:rsid w:val="007B73BC"/>
    <w:rsid w:val="007C1BB0"/>
    <w:rsid w:val="007C20B9"/>
    <w:rsid w:val="007C4B04"/>
    <w:rsid w:val="007C7301"/>
    <w:rsid w:val="007C7859"/>
    <w:rsid w:val="007D2BDE"/>
    <w:rsid w:val="007D2FB6"/>
    <w:rsid w:val="007D4A50"/>
    <w:rsid w:val="007D7484"/>
    <w:rsid w:val="007E0DE2"/>
    <w:rsid w:val="007E3B98"/>
    <w:rsid w:val="007E5C7A"/>
    <w:rsid w:val="007F31B6"/>
    <w:rsid w:val="007F546C"/>
    <w:rsid w:val="007F625F"/>
    <w:rsid w:val="007F665E"/>
    <w:rsid w:val="00800412"/>
    <w:rsid w:val="008027A3"/>
    <w:rsid w:val="00803205"/>
    <w:rsid w:val="00803750"/>
    <w:rsid w:val="00804FFA"/>
    <w:rsid w:val="0080587B"/>
    <w:rsid w:val="00806468"/>
    <w:rsid w:val="0081190D"/>
    <w:rsid w:val="008155F0"/>
    <w:rsid w:val="00816735"/>
    <w:rsid w:val="00820141"/>
    <w:rsid w:val="00820E0C"/>
    <w:rsid w:val="00826C74"/>
    <w:rsid w:val="0083139C"/>
    <w:rsid w:val="008338A2"/>
    <w:rsid w:val="008368A7"/>
    <w:rsid w:val="00841AA9"/>
    <w:rsid w:val="00842F19"/>
    <w:rsid w:val="00853EE4"/>
    <w:rsid w:val="00855535"/>
    <w:rsid w:val="0086255E"/>
    <w:rsid w:val="008633F0"/>
    <w:rsid w:val="00867D9D"/>
    <w:rsid w:val="00872E0A"/>
    <w:rsid w:val="00875285"/>
    <w:rsid w:val="00875BEB"/>
    <w:rsid w:val="00884B62"/>
    <w:rsid w:val="0088529C"/>
    <w:rsid w:val="00887903"/>
    <w:rsid w:val="00890223"/>
    <w:rsid w:val="00890FBC"/>
    <w:rsid w:val="0089270A"/>
    <w:rsid w:val="00893AF6"/>
    <w:rsid w:val="00894BC4"/>
    <w:rsid w:val="00896DDA"/>
    <w:rsid w:val="008A0338"/>
    <w:rsid w:val="008A072D"/>
    <w:rsid w:val="008A1FEB"/>
    <w:rsid w:val="008A5B32"/>
    <w:rsid w:val="008B2EE4"/>
    <w:rsid w:val="008B4D3D"/>
    <w:rsid w:val="008B57C7"/>
    <w:rsid w:val="008C0320"/>
    <w:rsid w:val="008C1BF5"/>
    <w:rsid w:val="008C2F92"/>
    <w:rsid w:val="008D2846"/>
    <w:rsid w:val="008D4199"/>
    <w:rsid w:val="008D4236"/>
    <w:rsid w:val="008D462F"/>
    <w:rsid w:val="008D6DCF"/>
    <w:rsid w:val="008E4376"/>
    <w:rsid w:val="008E7A0A"/>
    <w:rsid w:val="008F1307"/>
    <w:rsid w:val="00900719"/>
    <w:rsid w:val="009017AC"/>
    <w:rsid w:val="00904A1C"/>
    <w:rsid w:val="00905030"/>
    <w:rsid w:val="00906490"/>
    <w:rsid w:val="00906AC0"/>
    <w:rsid w:val="009111B2"/>
    <w:rsid w:val="00924AE1"/>
    <w:rsid w:val="009269B1"/>
    <w:rsid w:val="0092724D"/>
    <w:rsid w:val="00937707"/>
    <w:rsid w:val="00937BD9"/>
    <w:rsid w:val="00942330"/>
    <w:rsid w:val="00950E2C"/>
    <w:rsid w:val="00951D50"/>
    <w:rsid w:val="009525EB"/>
    <w:rsid w:val="00954874"/>
    <w:rsid w:val="00961400"/>
    <w:rsid w:val="00963646"/>
    <w:rsid w:val="009707F1"/>
    <w:rsid w:val="00982FF3"/>
    <w:rsid w:val="009853E1"/>
    <w:rsid w:val="00986E6B"/>
    <w:rsid w:val="00991769"/>
    <w:rsid w:val="00994386"/>
    <w:rsid w:val="009A13D8"/>
    <w:rsid w:val="009A279E"/>
    <w:rsid w:val="009B07FA"/>
    <w:rsid w:val="009B0A6F"/>
    <w:rsid w:val="009B0A94"/>
    <w:rsid w:val="009B59E9"/>
    <w:rsid w:val="009B70AA"/>
    <w:rsid w:val="009C5E77"/>
    <w:rsid w:val="009C7A7E"/>
    <w:rsid w:val="009D02E8"/>
    <w:rsid w:val="009D091E"/>
    <w:rsid w:val="009D51D0"/>
    <w:rsid w:val="009D70A4"/>
    <w:rsid w:val="009E08D1"/>
    <w:rsid w:val="009E1B95"/>
    <w:rsid w:val="009E2280"/>
    <w:rsid w:val="009E496F"/>
    <w:rsid w:val="009E4B0D"/>
    <w:rsid w:val="009E5493"/>
    <w:rsid w:val="009E7F92"/>
    <w:rsid w:val="009F02A3"/>
    <w:rsid w:val="009F2F27"/>
    <w:rsid w:val="009F308D"/>
    <w:rsid w:val="009F34AA"/>
    <w:rsid w:val="009F6BCB"/>
    <w:rsid w:val="009F7B78"/>
    <w:rsid w:val="00A0057A"/>
    <w:rsid w:val="00A11421"/>
    <w:rsid w:val="00A157B1"/>
    <w:rsid w:val="00A208E4"/>
    <w:rsid w:val="00A22229"/>
    <w:rsid w:val="00A23A10"/>
    <w:rsid w:val="00A267B9"/>
    <w:rsid w:val="00A3712C"/>
    <w:rsid w:val="00A37B83"/>
    <w:rsid w:val="00A44882"/>
    <w:rsid w:val="00A4566F"/>
    <w:rsid w:val="00A5209D"/>
    <w:rsid w:val="00A54715"/>
    <w:rsid w:val="00A5576F"/>
    <w:rsid w:val="00A6061C"/>
    <w:rsid w:val="00A62D44"/>
    <w:rsid w:val="00A67263"/>
    <w:rsid w:val="00A7161C"/>
    <w:rsid w:val="00A75E9B"/>
    <w:rsid w:val="00A77AA3"/>
    <w:rsid w:val="00A80055"/>
    <w:rsid w:val="00A854EB"/>
    <w:rsid w:val="00A872E5"/>
    <w:rsid w:val="00A91406"/>
    <w:rsid w:val="00A9635E"/>
    <w:rsid w:val="00A96E65"/>
    <w:rsid w:val="00A97C72"/>
    <w:rsid w:val="00AA1007"/>
    <w:rsid w:val="00AA63D4"/>
    <w:rsid w:val="00AA70F8"/>
    <w:rsid w:val="00AB06E8"/>
    <w:rsid w:val="00AB1CD3"/>
    <w:rsid w:val="00AB30D2"/>
    <w:rsid w:val="00AB314D"/>
    <w:rsid w:val="00AB352F"/>
    <w:rsid w:val="00AC274B"/>
    <w:rsid w:val="00AC4764"/>
    <w:rsid w:val="00AC5071"/>
    <w:rsid w:val="00AC6617"/>
    <w:rsid w:val="00AC6D36"/>
    <w:rsid w:val="00AD0CBA"/>
    <w:rsid w:val="00AD26E2"/>
    <w:rsid w:val="00AD784C"/>
    <w:rsid w:val="00AE126A"/>
    <w:rsid w:val="00AE23A5"/>
    <w:rsid w:val="00AE3005"/>
    <w:rsid w:val="00AE3678"/>
    <w:rsid w:val="00AE3A4E"/>
    <w:rsid w:val="00AE3BD5"/>
    <w:rsid w:val="00AE59A0"/>
    <w:rsid w:val="00AF0C57"/>
    <w:rsid w:val="00AF2133"/>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3C5"/>
    <w:rsid w:val="00B45141"/>
    <w:rsid w:val="00B5273A"/>
    <w:rsid w:val="00B53362"/>
    <w:rsid w:val="00B53675"/>
    <w:rsid w:val="00B57329"/>
    <w:rsid w:val="00B62B50"/>
    <w:rsid w:val="00B635B7"/>
    <w:rsid w:val="00B63AE8"/>
    <w:rsid w:val="00B63E7B"/>
    <w:rsid w:val="00B65950"/>
    <w:rsid w:val="00B66D83"/>
    <w:rsid w:val="00B672C0"/>
    <w:rsid w:val="00B743FE"/>
    <w:rsid w:val="00B74E42"/>
    <w:rsid w:val="00B75646"/>
    <w:rsid w:val="00B83C2D"/>
    <w:rsid w:val="00B86176"/>
    <w:rsid w:val="00B90729"/>
    <w:rsid w:val="00B907DA"/>
    <w:rsid w:val="00B910F3"/>
    <w:rsid w:val="00B93C4B"/>
    <w:rsid w:val="00B950BC"/>
    <w:rsid w:val="00B9648D"/>
    <w:rsid w:val="00B9714C"/>
    <w:rsid w:val="00B97F99"/>
    <w:rsid w:val="00BA1DC3"/>
    <w:rsid w:val="00BA3F8D"/>
    <w:rsid w:val="00BB789B"/>
    <w:rsid w:val="00BB7A10"/>
    <w:rsid w:val="00BC4A01"/>
    <w:rsid w:val="00BC6C9F"/>
    <w:rsid w:val="00BC7468"/>
    <w:rsid w:val="00BC7D4F"/>
    <w:rsid w:val="00BC7ED7"/>
    <w:rsid w:val="00BD2850"/>
    <w:rsid w:val="00BE28D2"/>
    <w:rsid w:val="00BE4A64"/>
    <w:rsid w:val="00BE4C07"/>
    <w:rsid w:val="00BF7F58"/>
    <w:rsid w:val="00C01381"/>
    <w:rsid w:val="00C03D66"/>
    <w:rsid w:val="00C0402D"/>
    <w:rsid w:val="00C079B8"/>
    <w:rsid w:val="00C1220F"/>
    <w:rsid w:val="00C123EA"/>
    <w:rsid w:val="00C12A49"/>
    <w:rsid w:val="00C133EE"/>
    <w:rsid w:val="00C17FE8"/>
    <w:rsid w:val="00C2374D"/>
    <w:rsid w:val="00C27DE9"/>
    <w:rsid w:val="00C33388"/>
    <w:rsid w:val="00C34D16"/>
    <w:rsid w:val="00C35484"/>
    <w:rsid w:val="00C35715"/>
    <w:rsid w:val="00C4173A"/>
    <w:rsid w:val="00C602FF"/>
    <w:rsid w:val="00C61174"/>
    <w:rsid w:val="00C6148F"/>
    <w:rsid w:val="00C62F7A"/>
    <w:rsid w:val="00C63B9C"/>
    <w:rsid w:val="00C6682F"/>
    <w:rsid w:val="00C7275E"/>
    <w:rsid w:val="00C74C5D"/>
    <w:rsid w:val="00C7730C"/>
    <w:rsid w:val="00C81332"/>
    <w:rsid w:val="00C863C4"/>
    <w:rsid w:val="00C93B18"/>
    <w:rsid w:val="00C93C3E"/>
    <w:rsid w:val="00CA12E3"/>
    <w:rsid w:val="00CA6434"/>
    <w:rsid w:val="00CA6611"/>
    <w:rsid w:val="00CA6AE6"/>
    <w:rsid w:val="00CA782F"/>
    <w:rsid w:val="00CB3285"/>
    <w:rsid w:val="00CC0C72"/>
    <w:rsid w:val="00CC2BFD"/>
    <w:rsid w:val="00CD0E06"/>
    <w:rsid w:val="00CD3476"/>
    <w:rsid w:val="00CD4FB4"/>
    <w:rsid w:val="00CD64DF"/>
    <w:rsid w:val="00CE420A"/>
    <w:rsid w:val="00CF0DAB"/>
    <w:rsid w:val="00CF2F50"/>
    <w:rsid w:val="00CF7F39"/>
    <w:rsid w:val="00D02919"/>
    <w:rsid w:val="00D0343C"/>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62CA5"/>
    <w:rsid w:val="00D650EA"/>
    <w:rsid w:val="00D714CC"/>
    <w:rsid w:val="00D7416F"/>
    <w:rsid w:val="00D75EA7"/>
    <w:rsid w:val="00D81F21"/>
    <w:rsid w:val="00D95470"/>
    <w:rsid w:val="00D97DE3"/>
    <w:rsid w:val="00DA2619"/>
    <w:rsid w:val="00DA4239"/>
    <w:rsid w:val="00DB0624"/>
    <w:rsid w:val="00DB0B61"/>
    <w:rsid w:val="00DB1B80"/>
    <w:rsid w:val="00DB2672"/>
    <w:rsid w:val="00DC090B"/>
    <w:rsid w:val="00DC1679"/>
    <w:rsid w:val="00DC2CF1"/>
    <w:rsid w:val="00DC4FCF"/>
    <w:rsid w:val="00DC50E0"/>
    <w:rsid w:val="00DC58BC"/>
    <w:rsid w:val="00DC6386"/>
    <w:rsid w:val="00DC78C4"/>
    <w:rsid w:val="00DD05E7"/>
    <w:rsid w:val="00DD1130"/>
    <w:rsid w:val="00DD1951"/>
    <w:rsid w:val="00DD6628"/>
    <w:rsid w:val="00DE3250"/>
    <w:rsid w:val="00DE406E"/>
    <w:rsid w:val="00DE6028"/>
    <w:rsid w:val="00DE603E"/>
    <w:rsid w:val="00DE78A3"/>
    <w:rsid w:val="00DF1A71"/>
    <w:rsid w:val="00DF68C7"/>
    <w:rsid w:val="00DF731A"/>
    <w:rsid w:val="00E076CA"/>
    <w:rsid w:val="00E170DC"/>
    <w:rsid w:val="00E26818"/>
    <w:rsid w:val="00E27FFC"/>
    <w:rsid w:val="00E30B15"/>
    <w:rsid w:val="00E31B5B"/>
    <w:rsid w:val="00E35B7C"/>
    <w:rsid w:val="00E40181"/>
    <w:rsid w:val="00E434F1"/>
    <w:rsid w:val="00E52F9B"/>
    <w:rsid w:val="00E56A01"/>
    <w:rsid w:val="00E60664"/>
    <w:rsid w:val="00E629A1"/>
    <w:rsid w:val="00E6794C"/>
    <w:rsid w:val="00E71591"/>
    <w:rsid w:val="00E7226F"/>
    <w:rsid w:val="00E747BC"/>
    <w:rsid w:val="00E7687E"/>
    <w:rsid w:val="00E81E8A"/>
    <w:rsid w:val="00E82C55"/>
    <w:rsid w:val="00E8515D"/>
    <w:rsid w:val="00E85837"/>
    <w:rsid w:val="00E86E0A"/>
    <w:rsid w:val="00E92AC3"/>
    <w:rsid w:val="00EB00E0"/>
    <w:rsid w:val="00EC059F"/>
    <w:rsid w:val="00EC1F24"/>
    <w:rsid w:val="00EC22F6"/>
    <w:rsid w:val="00EC4447"/>
    <w:rsid w:val="00ED5B9B"/>
    <w:rsid w:val="00ED6BAD"/>
    <w:rsid w:val="00ED7447"/>
    <w:rsid w:val="00EE1488"/>
    <w:rsid w:val="00EE4749"/>
    <w:rsid w:val="00EE4D5D"/>
    <w:rsid w:val="00EE5131"/>
    <w:rsid w:val="00EF109B"/>
    <w:rsid w:val="00EF330D"/>
    <w:rsid w:val="00EF36AF"/>
    <w:rsid w:val="00EF4F89"/>
    <w:rsid w:val="00F00F9C"/>
    <w:rsid w:val="00F01E5F"/>
    <w:rsid w:val="00F02ABA"/>
    <w:rsid w:val="00F0437A"/>
    <w:rsid w:val="00F058E6"/>
    <w:rsid w:val="00F11037"/>
    <w:rsid w:val="00F16F1B"/>
    <w:rsid w:val="00F250A9"/>
    <w:rsid w:val="00F30FF4"/>
    <w:rsid w:val="00F3122E"/>
    <w:rsid w:val="00F331AD"/>
    <w:rsid w:val="00F35287"/>
    <w:rsid w:val="00F43A37"/>
    <w:rsid w:val="00F4641B"/>
    <w:rsid w:val="00F46786"/>
    <w:rsid w:val="00F46EB8"/>
    <w:rsid w:val="00F511E4"/>
    <w:rsid w:val="00F52D09"/>
    <w:rsid w:val="00F52E08"/>
    <w:rsid w:val="00F55B21"/>
    <w:rsid w:val="00F56EF6"/>
    <w:rsid w:val="00F61A9F"/>
    <w:rsid w:val="00F64696"/>
    <w:rsid w:val="00F65AA9"/>
    <w:rsid w:val="00F6768F"/>
    <w:rsid w:val="00F72C2C"/>
    <w:rsid w:val="00F72EF0"/>
    <w:rsid w:val="00F76950"/>
    <w:rsid w:val="00F76CAB"/>
    <w:rsid w:val="00F772C6"/>
    <w:rsid w:val="00F815B5"/>
    <w:rsid w:val="00F84A54"/>
    <w:rsid w:val="00F85195"/>
    <w:rsid w:val="00F938BA"/>
    <w:rsid w:val="00FA2AA7"/>
    <w:rsid w:val="00FA2C46"/>
    <w:rsid w:val="00FA3525"/>
    <w:rsid w:val="00FA4698"/>
    <w:rsid w:val="00FB0FA9"/>
    <w:rsid w:val="00FB2544"/>
    <w:rsid w:val="00FB4769"/>
    <w:rsid w:val="00FB4CDA"/>
    <w:rsid w:val="00FB71AA"/>
    <w:rsid w:val="00FC0F81"/>
    <w:rsid w:val="00FC395C"/>
    <w:rsid w:val="00FC7EE0"/>
    <w:rsid w:val="00FD3766"/>
    <w:rsid w:val="00FD47C4"/>
    <w:rsid w:val="00FE2DCF"/>
    <w:rsid w:val="00FE2F4F"/>
    <w:rsid w:val="00FF2FCE"/>
    <w:rsid w:val="00FF3959"/>
    <w:rsid w:val="00FF3DBC"/>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link w:val="DHHSbullet1Char"/>
    <w:uiPriority w:val="99"/>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99"/>
    <w:qFormat/>
    <w:rsid w:val="0051568D"/>
    <w:pPr>
      <w:numPr>
        <w:ilvl w:val="2"/>
        <w:numId w:val="7"/>
      </w:numPr>
      <w:spacing w:after="40"/>
    </w:pPr>
  </w:style>
  <w:style w:type="paragraph" w:styleId="BalloonText">
    <w:name w:val="Balloon Text"/>
    <w:basedOn w:val="Normal"/>
    <w:link w:val="BalloonTextChar"/>
    <w:uiPriority w:val="99"/>
    <w:semiHidden/>
    <w:unhideWhenUsed/>
    <w:rsid w:val="00A80055"/>
    <w:rPr>
      <w:rFonts w:ascii="Tahoma" w:hAnsi="Tahoma" w:cs="Tahoma"/>
      <w:sz w:val="16"/>
      <w:szCs w:val="16"/>
    </w:rPr>
  </w:style>
  <w:style w:type="character" w:customStyle="1" w:styleId="BalloonTextChar">
    <w:name w:val="Balloon Text Char"/>
    <w:basedOn w:val="DefaultParagraphFont"/>
    <w:link w:val="BalloonText"/>
    <w:uiPriority w:val="99"/>
    <w:semiHidden/>
    <w:rsid w:val="00A80055"/>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99"/>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uiPriority w:val="99"/>
    <w:qFormat/>
    <w:rsid w:val="0051568D"/>
    <w:pPr>
      <w:numPr>
        <w:ilvl w:val="1"/>
      </w:numPr>
      <w:spacing w:after="120"/>
    </w:pPr>
  </w:style>
  <w:style w:type="paragraph" w:customStyle="1" w:styleId="DHHSbullet2lastline">
    <w:name w:val="DHHS bullet 2 last line"/>
    <w:basedOn w:val="DHHSbullet2"/>
    <w:uiPriority w:val="99"/>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aption">
    <w:name w:val="caption"/>
    <w:basedOn w:val="Normal"/>
    <w:next w:val="Normal"/>
    <w:uiPriority w:val="35"/>
    <w:unhideWhenUsed/>
    <w:qFormat/>
    <w:rsid w:val="0028291A"/>
    <w:pPr>
      <w:spacing w:after="200"/>
    </w:pPr>
    <w:rPr>
      <w:b/>
      <w:bCs/>
      <w:color w:val="4F81BD" w:themeColor="accent1"/>
      <w:sz w:val="18"/>
      <w:szCs w:val="18"/>
    </w:rPr>
  </w:style>
  <w:style w:type="character" w:customStyle="1" w:styleId="DHHSbodyChar">
    <w:name w:val="DHHS body Char"/>
    <w:link w:val="DHHSbody"/>
    <w:rsid w:val="00A5209D"/>
    <w:rPr>
      <w:rFonts w:ascii="Arial" w:eastAsia="Times" w:hAnsi="Arial"/>
      <w:lang w:eastAsia="en-US"/>
    </w:rPr>
  </w:style>
  <w:style w:type="paragraph" w:customStyle="1" w:styleId="DHHSNumberText">
    <w:name w:val="DHHS Number Text"/>
    <w:basedOn w:val="Normal"/>
    <w:rsid w:val="00A5209D"/>
    <w:pPr>
      <w:numPr>
        <w:numId w:val="9"/>
      </w:numPr>
      <w:spacing w:after="120" w:line="270" w:lineRule="exact"/>
      <w:jc w:val="both"/>
    </w:pPr>
    <w:rPr>
      <w:rFonts w:ascii="Calibri" w:hAnsi="Calibri"/>
      <w:sz w:val="22"/>
    </w:rPr>
  </w:style>
  <w:style w:type="paragraph" w:customStyle="1" w:styleId="DHHSBody0">
    <w:name w:val="DHHS Body"/>
    <w:basedOn w:val="DHHSbody"/>
    <w:link w:val="DHHSBodyChar0"/>
    <w:qFormat/>
    <w:rsid w:val="00194650"/>
  </w:style>
  <w:style w:type="character" w:customStyle="1" w:styleId="DHHSBodyChar0">
    <w:name w:val="DHHS Body Char"/>
    <w:basedOn w:val="DHHSbodyChar"/>
    <w:link w:val="DHHSBody0"/>
    <w:rsid w:val="00194650"/>
    <w:rPr>
      <w:rFonts w:ascii="Arial" w:eastAsia="Times" w:hAnsi="Arial"/>
      <w:lang w:eastAsia="en-US"/>
    </w:rPr>
  </w:style>
  <w:style w:type="character" w:customStyle="1" w:styleId="FooterChar">
    <w:name w:val="Footer Char"/>
    <w:basedOn w:val="DefaultParagraphFont"/>
    <w:link w:val="Footer"/>
    <w:uiPriority w:val="99"/>
    <w:rsid w:val="000B4088"/>
    <w:rPr>
      <w:rFonts w:ascii="Arial" w:hAnsi="Arial" w:cs="Arial"/>
      <w:sz w:val="18"/>
      <w:szCs w:val="18"/>
      <w:lang w:eastAsia="en-US"/>
    </w:rPr>
  </w:style>
  <w:style w:type="character" w:customStyle="1" w:styleId="DHHSbullet1Char">
    <w:name w:val="DHHS bullet 1 Char"/>
    <w:link w:val="DHHSbullet1"/>
    <w:uiPriority w:val="99"/>
    <w:rsid w:val="002F65BE"/>
    <w:rPr>
      <w:rFonts w:ascii="Arial" w:eastAsia="Times" w:hAnsi="Arial"/>
      <w:lang w:eastAsia="en-US"/>
    </w:rPr>
  </w:style>
  <w:style w:type="character" w:styleId="CommentReference">
    <w:name w:val="annotation reference"/>
    <w:basedOn w:val="DefaultParagraphFont"/>
    <w:uiPriority w:val="99"/>
    <w:semiHidden/>
    <w:unhideWhenUsed/>
    <w:rsid w:val="00655B6F"/>
    <w:rPr>
      <w:sz w:val="16"/>
      <w:szCs w:val="16"/>
    </w:rPr>
  </w:style>
  <w:style w:type="paragraph" w:styleId="CommentText">
    <w:name w:val="annotation text"/>
    <w:basedOn w:val="Normal"/>
    <w:link w:val="CommentTextChar"/>
    <w:uiPriority w:val="99"/>
    <w:semiHidden/>
    <w:unhideWhenUsed/>
    <w:rsid w:val="00655B6F"/>
  </w:style>
  <w:style w:type="character" w:customStyle="1" w:styleId="CommentTextChar">
    <w:name w:val="Comment Text Char"/>
    <w:basedOn w:val="DefaultParagraphFont"/>
    <w:link w:val="CommentText"/>
    <w:uiPriority w:val="99"/>
    <w:semiHidden/>
    <w:rsid w:val="00655B6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55B6F"/>
    <w:rPr>
      <w:b/>
      <w:bCs/>
    </w:rPr>
  </w:style>
  <w:style w:type="character" w:customStyle="1" w:styleId="CommentSubjectChar">
    <w:name w:val="Comment Subject Char"/>
    <w:basedOn w:val="CommentTextChar"/>
    <w:link w:val="CommentSubject"/>
    <w:uiPriority w:val="99"/>
    <w:semiHidden/>
    <w:rsid w:val="00655B6F"/>
    <w:rPr>
      <w:rFonts w:ascii="Cambria" w:hAnsi="Cambria"/>
      <w:b/>
      <w:bCs/>
      <w:lang w:eastAsia="en-US"/>
    </w:rPr>
  </w:style>
  <w:style w:type="paragraph" w:styleId="Revision">
    <w:name w:val="Revision"/>
    <w:hidden/>
    <w:uiPriority w:val="71"/>
    <w:rsid w:val="00655B6F"/>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link w:val="DHHSbullet1Char"/>
    <w:uiPriority w:val="99"/>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99"/>
    <w:qFormat/>
    <w:rsid w:val="0051568D"/>
    <w:pPr>
      <w:numPr>
        <w:ilvl w:val="2"/>
        <w:numId w:val="7"/>
      </w:numPr>
      <w:spacing w:after="40"/>
    </w:pPr>
  </w:style>
  <w:style w:type="paragraph" w:styleId="BalloonText">
    <w:name w:val="Balloon Text"/>
    <w:basedOn w:val="Normal"/>
    <w:link w:val="BalloonTextChar"/>
    <w:uiPriority w:val="99"/>
    <w:semiHidden/>
    <w:unhideWhenUsed/>
    <w:rsid w:val="00A80055"/>
    <w:rPr>
      <w:rFonts w:ascii="Tahoma" w:hAnsi="Tahoma" w:cs="Tahoma"/>
      <w:sz w:val="16"/>
      <w:szCs w:val="16"/>
    </w:rPr>
  </w:style>
  <w:style w:type="character" w:customStyle="1" w:styleId="BalloonTextChar">
    <w:name w:val="Balloon Text Char"/>
    <w:basedOn w:val="DefaultParagraphFont"/>
    <w:link w:val="BalloonText"/>
    <w:uiPriority w:val="99"/>
    <w:semiHidden/>
    <w:rsid w:val="00A80055"/>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99"/>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uiPriority w:val="99"/>
    <w:qFormat/>
    <w:rsid w:val="0051568D"/>
    <w:pPr>
      <w:numPr>
        <w:ilvl w:val="1"/>
      </w:numPr>
      <w:spacing w:after="120"/>
    </w:pPr>
  </w:style>
  <w:style w:type="paragraph" w:customStyle="1" w:styleId="DHHSbullet2lastline">
    <w:name w:val="DHHS bullet 2 last line"/>
    <w:basedOn w:val="DHHSbullet2"/>
    <w:uiPriority w:val="99"/>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Caption">
    <w:name w:val="caption"/>
    <w:basedOn w:val="Normal"/>
    <w:next w:val="Normal"/>
    <w:uiPriority w:val="35"/>
    <w:unhideWhenUsed/>
    <w:qFormat/>
    <w:rsid w:val="0028291A"/>
    <w:pPr>
      <w:spacing w:after="200"/>
    </w:pPr>
    <w:rPr>
      <w:b/>
      <w:bCs/>
      <w:color w:val="4F81BD" w:themeColor="accent1"/>
      <w:sz w:val="18"/>
      <w:szCs w:val="18"/>
    </w:rPr>
  </w:style>
  <w:style w:type="character" w:customStyle="1" w:styleId="DHHSbodyChar">
    <w:name w:val="DHHS body Char"/>
    <w:link w:val="DHHSbody"/>
    <w:rsid w:val="00A5209D"/>
    <w:rPr>
      <w:rFonts w:ascii="Arial" w:eastAsia="Times" w:hAnsi="Arial"/>
      <w:lang w:eastAsia="en-US"/>
    </w:rPr>
  </w:style>
  <w:style w:type="paragraph" w:customStyle="1" w:styleId="DHHSNumberText">
    <w:name w:val="DHHS Number Text"/>
    <w:basedOn w:val="Normal"/>
    <w:rsid w:val="00A5209D"/>
    <w:pPr>
      <w:numPr>
        <w:numId w:val="9"/>
      </w:numPr>
      <w:spacing w:after="120" w:line="270" w:lineRule="exact"/>
      <w:jc w:val="both"/>
    </w:pPr>
    <w:rPr>
      <w:rFonts w:ascii="Calibri" w:hAnsi="Calibri"/>
      <w:sz w:val="22"/>
    </w:rPr>
  </w:style>
  <w:style w:type="paragraph" w:customStyle="1" w:styleId="DHHSBody0">
    <w:name w:val="DHHS Body"/>
    <w:basedOn w:val="DHHSbody"/>
    <w:link w:val="DHHSBodyChar0"/>
    <w:qFormat/>
    <w:rsid w:val="00194650"/>
  </w:style>
  <w:style w:type="character" w:customStyle="1" w:styleId="DHHSBodyChar0">
    <w:name w:val="DHHS Body Char"/>
    <w:basedOn w:val="DHHSbodyChar"/>
    <w:link w:val="DHHSBody0"/>
    <w:rsid w:val="00194650"/>
    <w:rPr>
      <w:rFonts w:ascii="Arial" w:eastAsia="Times" w:hAnsi="Arial"/>
      <w:lang w:eastAsia="en-US"/>
    </w:rPr>
  </w:style>
  <w:style w:type="character" w:customStyle="1" w:styleId="FooterChar">
    <w:name w:val="Footer Char"/>
    <w:basedOn w:val="DefaultParagraphFont"/>
    <w:link w:val="Footer"/>
    <w:uiPriority w:val="99"/>
    <w:rsid w:val="000B4088"/>
    <w:rPr>
      <w:rFonts w:ascii="Arial" w:hAnsi="Arial" w:cs="Arial"/>
      <w:sz w:val="18"/>
      <w:szCs w:val="18"/>
      <w:lang w:eastAsia="en-US"/>
    </w:rPr>
  </w:style>
  <w:style w:type="character" w:customStyle="1" w:styleId="DHHSbullet1Char">
    <w:name w:val="DHHS bullet 1 Char"/>
    <w:link w:val="DHHSbullet1"/>
    <w:uiPriority w:val="99"/>
    <w:rsid w:val="002F65BE"/>
    <w:rPr>
      <w:rFonts w:ascii="Arial" w:eastAsia="Times" w:hAnsi="Arial"/>
      <w:lang w:eastAsia="en-US"/>
    </w:rPr>
  </w:style>
  <w:style w:type="character" w:styleId="CommentReference">
    <w:name w:val="annotation reference"/>
    <w:basedOn w:val="DefaultParagraphFont"/>
    <w:uiPriority w:val="99"/>
    <w:semiHidden/>
    <w:unhideWhenUsed/>
    <w:rsid w:val="00655B6F"/>
    <w:rPr>
      <w:sz w:val="16"/>
      <w:szCs w:val="16"/>
    </w:rPr>
  </w:style>
  <w:style w:type="paragraph" w:styleId="CommentText">
    <w:name w:val="annotation text"/>
    <w:basedOn w:val="Normal"/>
    <w:link w:val="CommentTextChar"/>
    <w:uiPriority w:val="99"/>
    <w:semiHidden/>
    <w:unhideWhenUsed/>
    <w:rsid w:val="00655B6F"/>
  </w:style>
  <w:style w:type="character" w:customStyle="1" w:styleId="CommentTextChar">
    <w:name w:val="Comment Text Char"/>
    <w:basedOn w:val="DefaultParagraphFont"/>
    <w:link w:val="CommentText"/>
    <w:uiPriority w:val="99"/>
    <w:semiHidden/>
    <w:rsid w:val="00655B6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55B6F"/>
    <w:rPr>
      <w:b/>
      <w:bCs/>
    </w:rPr>
  </w:style>
  <w:style w:type="character" w:customStyle="1" w:styleId="CommentSubjectChar">
    <w:name w:val="Comment Subject Char"/>
    <w:basedOn w:val="CommentTextChar"/>
    <w:link w:val="CommentSubject"/>
    <w:uiPriority w:val="99"/>
    <w:semiHidden/>
    <w:rsid w:val="00655B6F"/>
    <w:rPr>
      <w:rFonts w:ascii="Cambria" w:hAnsi="Cambria"/>
      <w:b/>
      <w:bCs/>
      <w:lang w:eastAsia="en-US"/>
    </w:rPr>
  </w:style>
  <w:style w:type="paragraph" w:styleId="Revision">
    <w:name w:val="Revision"/>
    <w:hidden/>
    <w:uiPriority w:val="71"/>
    <w:rsid w:val="00655B6F"/>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8369">
      <w:bodyDiv w:val="1"/>
      <w:marLeft w:val="0"/>
      <w:marRight w:val="0"/>
      <w:marTop w:val="0"/>
      <w:marBottom w:val="0"/>
      <w:divBdr>
        <w:top w:val="none" w:sz="0" w:space="0" w:color="auto"/>
        <w:left w:val="none" w:sz="0" w:space="0" w:color="auto"/>
        <w:bottom w:val="none" w:sz="0" w:space="0" w:color="auto"/>
        <w:right w:val="none" w:sz="0" w:space="0" w:color="auto"/>
      </w:divBdr>
    </w:div>
    <w:div w:id="129035899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094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2.health.vic.gov.au/alcohol-and-drugs/aod-service-standards-guidelines/aod-program-guideline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www2.health.vic.gov.au/mental-health/practice-and-service-quality/specialist-responses/dual-diagnosi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file:///\\N060\GROUP\Drug%20Policy%20and%20Services\Design%20&amp;%20Development\Guidelines\2017%20Guidelines%20review\www.directline.org.au\service-fin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2.health.vic.gov.au/alcohol-and-drugs/aod-treatment-services/aod-residential-treatment"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aod.enquiries@dhhs.vic.gov.au?subject=Request%20for%20accessible%20format%20-%20intake%20and%20assessment%20factsheet%20for%20client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N060\GROUP\Drug%20Policy%20and%20Services\Strategy%20&amp;%20Policy\Aspex%20review\Communications\Fact%20sheets\Clients\www.directline.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2.health.vic.gov.au/alcohol-and-drugs/aod-treatment-services/aod-residential-treatment"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6465-14D6-46F7-AEAA-91078556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1543</Words>
  <Characters>10722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12241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Westwood</dc:creator>
  <cp:lastModifiedBy>Kristal Allison (DHHS)</cp:lastModifiedBy>
  <cp:revision>4</cp:revision>
  <cp:lastPrinted>2017-05-18T03:28:00Z</cp:lastPrinted>
  <dcterms:created xsi:type="dcterms:W3CDTF">2018-04-19T02:59:00Z</dcterms:created>
  <dcterms:modified xsi:type="dcterms:W3CDTF">2018-04-27T02:46:00Z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