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6AF5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1C880A8F" wp14:editId="2A09E1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640"/>
            <wp:effectExtent l="0" t="0" r="0" b="381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A1D68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8"/>
      </w:tblGrid>
      <w:tr w:rsidR="00AD784C" w14:paraId="70C72320" w14:textId="77777777" w:rsidTr="00515CF6">
        <w:trPr>
          <w:trHeight w:val="1292"/>
        </w:trPr>
        <w:tc>
          <w:tcPr>
            <w:tcW w:w="8508" w:type="dxa"/>
            <w:shd w:val="clear" w:color="auto" w:fill="auto"/>
            <w:vAlign w:val="bottom"/>
          </w:tcPr>
          <w:p w14:paraId="680707E7" w14:textId="36DBC438" w:rsidR="00AD784C" w:rsidRPr="00161AA0" w:rsidRDefault="00A21629" w:rsidP="00A91406">
            <w:pPr>
              <w:pStyle w:val="DHHSmainheading"/>
            </w:pPr>
            <w:bookmarkStart w:id="0" w:name="_Hlk57787679"/>
            <w:r>
              <w:rPr>
                <w:sz w:val="40"/>
                <w:szCs w:val="40"/>
              </w:rPr>
              <w:t>CDIS Programs active list update</w:t>
            </w:r>
            <w:r w:rsidR="00515CF6">
              <w:rPr>
                <w:sz w:val="40"/>
                <w:szCs w:val="40"/>
              </w:rPr>
              <w:t xml:space="preserve"> – Dec 2020</w:t>
            </w:r>
            <w:bookmarkEnd w:id="0"/>
          </w:p>
        </w:tc>
      </w:tr>
      <w:tr w:rsidR="00AD784C" w14:paraId="3EAFA21C" w14:textId="77777777" w:rsidTr="00515CF6">
        <w:trPr>
          <w:trHeight w:hRule="exact" w:val="1204"/>
        </w:trPr>
        <w:tc>
          <w:tcPr>
            <w:tcW w:w="8508" w:type="dxa"/>
            <w:shd w:val="clear" w:color="auto" w:fill="auto"/>
            <w:tcMar>
              <w:top w:w="170" w:type="dxa"/>
              <w:bottom w:w="510" w:type="dxa"/>
            </w:tcMar>
          </w:tcPr>
          <w:p w14:paraId="0CC969E5" w14:textId="77777777" w:rsidR="00A21629" w:rsidRDefault="00A21629" w:rsidP="00A21629">
            <w:pPr>
              <w:pStyle w:val="DHHSmainsubheading"/>
              <w:rPr>
                <w:szCs w:val="28"/>
              </w:rPr>
            </w:pPr>
            <w:r w:rsidRPr="00DB7C96">
              <w:rPr>
                <w:szCs w:val="28"/>
              </w:rPr>
              <w:t>Victorian Maternal and Child Health (MCH) Child Development Information System (CDIS)</w:t>
            </w:r>
          </w:p>
          <w:p w14:paraId="229B6648" w14:textId="25F0301D" w:rsidR="00357B4E" w:rsidRPr="00AD784C" w:rsidRDefault="00A21629" w:rsidP="00A21629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December 2020</w:t>
            </w:r>
          </w:p>
        </w:tc>
      </w:tr>
    </w:tbl>
    <w:p w14:paraId="25294D5B" w14:textId="77777777" w:rsidR="00A21629" w:rsidRPr="00B57329" w:rsidRDefault="00A21629" w:rsidP="00A21629">
      <w:pPr>
        <w:pStyle w:val="Heading1"/>
      </w:pPr>
      <w:bookmarkStart w:id="1" w:name="_Toc58236074"/>
      <w:r w:rsidRPr="00B57329">
        <w:t>Contents</w:t>
      </w:r>
      <w:bookmarkEnd w:id="1"/>
    </w:p>
    <w:sdt>
      <w:sdtPr>
        <w:rPr>
          <w:rFonts w:ascii="Cambria" w:hAnsi="Cambria"/>
          <w:b w:val="0"/>
          <w:noProof w:val="0"/>
        </w:rPr>
        <w:id w:val="-1556902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E746AE" w14:textId="79B6C2CE" w:rsidR="00B81338" w:rsidRDefault="00A21629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58236074" w:history="1">
            <w:r w:rsidR="00B81338" w:rsidRPr="0048337F">
              <w:rPr>
                <w:rStyle w:val="Hyperlink"/>
              </w:rPr>
              <w:t>Contents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_Toc58236074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1</w:t>
            </w:r>
            <w:r w:rsidR="00B81338">
              <w:rPr>
                <w:webHidden/>
              </w:rPr>
              <w:fldChar w:fldCharType="end"/>
            </w:r>
          </w:hyperlink>
        </w:p>
        <w:p w14:paraId="0A8F7833" w14:textId="44566639" w:rsidR="00B81338" w:rsidRDefault="0072335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8236075" w:history="1">
            <w:r w:rsidR="00B81338" w:rsidRPr="0048337F">
              <w:rPr>
                <w:rStyle w:val="Hyperlink"/>
              </w:rPr>
              <w:t>Overview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_Toc58236075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1</w:t>
            </w:r>
            <w:r w:rsidR="00B81338">
              <w:rPr>
                <w:webHidden/>
              </w:rPr>
              <w:fldChar w:fldCharType="end"/>
            </w:r>
          </w:hyperlink>
        </w:p>
        <w:p w14:paraId="3D030116" w14:textId="0397A079" w:rsidR="00B81338" w:rsidRDefault="0072335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8236076" w:history="1">
            <w:r w:rsidR="00B81338" w:rsidRPr="0048337F">
              <w:rPr>
                <w:rStyle w:val="Hyperlink"/>
              </w:rPr>
              <w:t>Referrals and enrolments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_Toc58236076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1</w:t>
            </w:r>
            <w:r w:rsidR="00B81338">
              <w:rPr>
                <w:webHidden/>
              </w:rPr>
              <w:fldChar w:fldCharType="end"/>
            </w:r>
          </w:hyperlink>
        </w:p>
        <w:p w14:paraId="374D8A8D" w14:textId="41740681" w:rsidR="00B81338" w:rsidRDefault="0072335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8236077" w:history="1">
            <w:r w:rsidR="00B81338" w:rsidRPr="0048337F">
              <w:rPr>
                <w:rStyle w:val="Hyperlink"/>
              </w:rPr>
              <w:t>Updated “Action” options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_Toc58236077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2</w:t>
            </w:r>
            <w:r w:rsidR="00B81338">
              <w:rPr>
                <w:webHidden/>
              </w:rPr>
              <w:fldChar w:fldCharType="end"/>
            </w:r>
          </w:hyperlink>
        </w:p>
        <w:p w14:paraId="34C909BB" w14:textId="1644AEF3" w:rsidR="00B81338" w:rsidRDefault="0072335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58236078" w:history="1">
            <w:r w:rsidR="00B81338" w:rsidRPr="0048337F">
              <w:rPr>
                <w:rStyle w:val="Hyperlink"/>
              </w:rPr>
              <w:t>Displaying results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_Toc58236078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2</w:t>
            </w:r>
            <w:r w:rsidR="00B81338">
              <w:rPr>
                <w:webHidden/>
              </w:rPr>
              <w:fldChar w:fldCharType="end"/>
            </w:r>
          </w:hyperlink>
        </w:p>
        <w:p w14:paraId="1F8721DA" w14:textId="63CD66DD" w:rsidR="00B81338" w:rsidRDefault="0072335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8236079" w:history="1">
            <w:r w:rsidR="00B81338" w:rsidRPr="0048337F">
              <w:rPr>
                <w:rStyle w:val="Hyperlink"/>
              </w:rPr>
              <w:t>Name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_Toc58236079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2</w:t>
            </w:r>
            <w:r w:rsidR="00B81338">
              <w:rPr>
                <w:webHidden/>
              </w:rPr>
              <w:fldChar w:fldCharType="end"/>
            </w:r>
          </w:hyperlink>
        </w:p>
        <w:p w14:paraId="1E2A76A6" w14:textId="64DF477F" w:rsidR="00B81338" w:rsidRDefault="0072335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8236080" w:history="1">
            <w:r w:rsidR="00B81338" w:rsidRPr="0048337F">
              <w:rPr>
                <w:rStyle w:val="Hyperlink"/>
              </w:rPr>
              <w:t>Referral Type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_Toc58236080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2</w:t>
            </w:r>
            <w:r w:rsidR="00B81338">
              <w:rPr>
                <w:webHidden/>
              </w:rPr>
              <w:fldChar w:fldCharType="end"/>
            </w:r>
          </w:hyperlink>
        </w:p>
        <w:p w14:paraId="5E167899" w14:textId="18B93A1C" w:rsidR="00B81338" w:rsidRDefault="0072335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8236081" w:history="1">
            <w:r w:rsidR="00B81338" w:rsidRPr="0048337F">
              <w:rPr>
                <w:rStyle w:val="Hyperlink"/>
              </w:rPr>
              <w:t>Hours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_Toc58236081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2</w:t>
            </w:r>
            <w:r w:rsidR="00B81338">
              <w:rPr>
                <w:webHidden/>
              </w:rPr>
              <w:fldChar w:fldCharType="end"/>
            </w:r>
          </w:hyperlink>
        </w:p>
        <w:p w14:paraId="1F1D6B90" w14:textId="3D231F16" w:rsidR="00B81338" w:rsidRDefault="0072335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8236082" w:history="1">
            <w:r w:rsidR="00B81338" w:rsidRPr="0048337F">
              <w:rPr>
                <w:rStyle w:val="Hyperlink"/>
              </w:rPr>
              <w:t>Delivered Hours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_Toc58236082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3</w:t>
            </w:r>
            <w:r w:rsidR="00B81338">
              <w:rPr>
                <w:webHidden/>
              </w:rPr>
              <w:fldChar w:fldCharType="end"/>
            </w:r>
          </w:hyperlink>
        </w:p>
        <w:p w14:paraId="46B42EF5" w14:textId="2E6C4142" w:rsidR="00B81338" w:rsidRDefault="0072335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8236083" w:history="1">
            <w:r w:rsidR="00B81338" w:rsidRPr="0048337F">
              <w:rPr>
                <w:rStyle w:val="Hyperlink"/>
              </w:rPr>
              <w:t>Program</w:t>
            </w:r>
            <w:r w:rsidR="00B81338">
              <w:rPr>
                <w:webHidden/>
              </w:rPr>
              <w:tab/>
            </w:r>
            <w:r w:rsidR="00B81338">
              <w:rPr>
                <w:webHidden/>
              </w:rPr>
              <w:fldChar w:fldCharType="begin"/>
            </w:r>
            <w:r w:rsidR="00B81338">
              <w:rPr>
                <w:webHidden/>
              </w:rPr>
              <w:instrText xml:space="preserve"> PAGEREF _Toc58236083 \h </w:instrText>
            </w:r>
            <w:r w:rsidR="00B81338">
              <w:rPr>
                <w:webHidden/>
              </w:rPr>
            </w:r>
            <w:r w:rsidR="00B81338">
              <w:rPr>
                <w:webHidden/>
              </w:rPr>
              <w:fldChar w:fldCharType="separate"/>
            </w:r>
            <w:r w:rsidR="00B81338">
              <w:rPr>
                <w:webHidden/>
              </w:rPr>
              <w:t>3</w:t>
            </w:r>
            <w:r w:rsidR="00B81338">
              <w:rPr>
                <w:webHidden/>
              </w:rPr>
              <w:fldChar w:fldCharType="end"/>
            </w:r>
          </w:hyperlink>
        </w:p>
        <w:p w14:paraId="68A0ACBC" w14:textId="097A36F6" w:rsidR="00A21629" w:rsidRDefault="00A21629" w:rsidP="00A21629">
          <w:r>
            <w:rPr>
              <w:b/>
              <w:bCs/>
              <w:noProof/>
            </w:rPr>
            <w:fldChar w:fldCharType="end"/>
          </w:r>
        </w:p>
      </w:sdtContent>
    </w:sdt>
    <w:p w14:paraId="770FA473" w14:textId="77777777" w:rsidR="00A21629" w:rsidRDefault="00A21629" w:rsidP="00A21629">
      <w:pPr>
        <w:pStyle w:val="DHHSbody"/>
        <w:sectPr w:rsidR="00A21629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2E24CF28" w14:textId="7279EF66" w:rsidR="00A21629" w:rsidRPr="00B57329" w:rsidRDefault="00A21629" w:rsidP="00A21629">
      <w:pPr>
        <w:pStyle w:val="Heading1"/>
      </w:pPr>
      <w:bookmarkStart w:id="2" w:name="_Toc55893927"/>
      <w:bookmarkStart w:id="3" w:name="_Toc58236075"/>
      <w:r>
        <w:t>Overview</w:t>
      </w:r>
      <w:bookmarkEnd w:id="2"/>
      <w:bookmarkEnd w:id="3"/>
    </w:p>
    <w:p w14:paraId="552C0347" w14:textId="77777777" w:rsidR="00A21629" w:rsidRDefault="00A21629" w:rsidP="00A21629">
      <w:pPr>
        <w:pStyle w:val="DHHSbody"/>
      </w:pPr>
      <w:r>
        <w:t>As of December 2020, the following changes have been made to the Programs Active List in CDIS.</w:t>
      </w:r>
    </w:p>
    <w:p w14:paraId="74FD8D14" w14:textId="1CA6A627" w:rsidR="00DA3D9E" w:rsidRDefault="00A21629" w:rsidP="00A21629">
      <w:pPr>
        <w:pStyle w:val="DHHSbody"/>
      </w:pPr>
      <w:r>
        <w:t xml:space="preserve">Some changes relate specifically to Integrated Programs, which are a new type of program that provide additional </w:t>
      </w:r>
      <w:r w:rsidR="00FB21EF">
        <w:t>features</w:t>
      </w:r>
      <w:r>
        <w:t xml:space="preserve">. </w:t>
      </w:r>
      <w:r w:rsidR="00C84487">
        <w:t>Where relevant, this has been specified within this document.</w:t>
      </w:r>
    </w:p>
    <w:p w14:paraId="14869B27" w14:textId="522DDF24" w:rsidR="00A21629" w:rsidRDefault="00A21629" w:rsidP="00A21629">
      <w:pPr>
        <w:pStyle w:val="DHHSbody"/>
      </w:pPr>
      <w:r>
        <w:t xml:space="preserve">There are two Integrated Programs: “Enhanced MCH” and “Sleep and Settling – Outreach”. Refer to the guidance documents for those programs for more </w:t>
      </w:r>
      <w:r w:rsidR="00AF0CC7">
        <w:t xml:space="preserve">detailed </w:t>
      </w:r>
      <w:r>
        <w:t>information.</w:t>
      </w:r>
    </w:p>
    <w:p w14:paraId="0AFAF147" w14:textId="77777777" w:rsidR="00A21629" w:rsidRDefault="00A21629" w:rsidP="00A21629">
      <w:pPr>
        <w:pStyle w:val="Heading1"/>
      </w:pPr>
      <w:bookmarkStart w:id="4" w:name="_Toc58236076"/>
      <w:r>
        <w:t>Referrals and enrolments</w:t>
      </w:r>
      <w:bookmarkEnd w:id="4"/>
    </w:p>
    <w:p w14:paraId="5806D68E" w14:textId="77777777" w:rsidR="00A21629" w:rsidRDefault="00A21629" w:rsidP="00A21629">
      <w:pPr>
        <w:pStyle w:val="DHHSbody"/>
      </w:pPr>
      <w:r>
        <w:t>The Programs Active List was previously limited to displaying pending referrals and active enrolments that were enrolled from a referral. The list will now also show active enrolments that were enrolled without a referral (bypassing referral).</w:t>
      </w:r>
    </w:p>
    <w:p w14:paraId="1961F468" w14:textId="77777777" w:rsidR="00A21629" w:rsidRDefault="00A21629" w:rsidP="00A21629">
      <w:pPr>
        <w:pStyle w:val="DHHSbody"/>
      </w:pPr>
      <w:r>
        <w:t>Program enrolments without referral o</w:t>
      </w:r>
      <w:bookmarkStart w:id="5" w:name="_GoBack"/>
      <w:bookmarkEnd w:id="5"/>
      <w:r>
        <w:t>ccur when a client is added to a program without using the referral process, such as via the Add/Edit Program screen. These enrolments never previously appeared in the Programs Active List, but now they do.</w:t>
      </w:r>
    </w:p>
    <w:p w14:paraId="1D5D4C1D" w14:textId="77777777" w:rsidR="00757E5F" w:rsidRPr="00757E5F" w:rsidRDefault="00A21629" w:rsidP="00A21629">
      <w:pPr>
        <w:pStyle w:val="DHHSbody"/>
        <w:ind w:left="851" w:hanging="850"/>
        <w:rPr>
          <w:b/>
          <w:bCs/>
        </w:rPr>
      </w:pPr>
      <w:r w:rsidRPr="00757E5F">
        <w:rPr>
          <w:b/>
        </w:rPr>
        <w:t>Note:</w:t>
      </w:r>
      <w:r w:rsidRPr="00757E5F">
        <w:rPr>
          <w:b/>
        </w:rPr>
        <w:tab/>
      </w:r>
    </w:p>
    <w:p w14:paraId="5DEA060F" w14:textId="3D3E62B3" w:rsidR="00A21629" w:rsidRDefault="00A21629" w:rsidP="00757E5F">
      <w:pPr>
        <w:pStyle w:val="DHHSbody"/>
      </w:pPr>
      <w:r>
        <w:t>For some programs at some Service Providers, all program enrolments must occur via the referral process. For example, a</w:t>
      </w:r>
      <w:r w:rsidRPr="000D1AF7">
        <w:t xml:space="preserve">t </w:t>
      </w:r>
      <w:r>
        <w:t>most S</w:t>
      </w:r>
      <w:r w:rsidRPr="000D1AF7">
        <w:t xml:space="preserve">ervice </w:t>
      </w:r>
      <w:r>
        <w:t>P</w:t>
      </w:r>
      <w:r w:rsidRPr="000D1AF7">
        <w:t xml:space="preserve">roviders it </w:t>
      </w:r>
      <w:r>
        <w:t>is never</w:t>
      </w:r>
      <w:r w:rsidRPr="000D1AF7">
        <w:t xml:space="preserve"> permissible</w:t>
      </w:r>
      <w:r>
        <w:t xml:space="preserve"> to</w:t>
      </w:r>
      <w:r w:rsidRPr="000D1AF7">
        <w:t xml:space="preserve"> directly enrol </w:t>
      </w:r>
      <w:r>
        <w:t>clients</w:t>
      </w:r>
      <w:r w:rsidRPr="000D1AF7">
        <w:t xml:space="preserve"> into the Enhanced MCH Program, without referral.</w:t>
      </w:r>
      <w:r>
        <w:t xml:space="preserve"> Only enrol without a referral into programs where this is explicitly permitted at your Service Provider.</w:t>
      </w:r>
    </w:p>
    <w:p w14:paraId="75F743D7" w14:textId="77777777" w:rsidR="00A21629" w:rsidRPr="00B57329" w:rsidRDefault="00A21629" w:rsidP="00A21629">
      <w:pPr>
        <w:pStyle w:val="Heading1"/>
      </w:pPr>
      <w:bookmarkStart w:id="6" w:name="_Toc58236077"/>
      <w:r>
        <w:t>Updated “Action” options</w:t>
      </w:r>
      <w:bookmarkEnd w:id="6"/>
    </w:p>
    <w:p w14:paraId="29F27981" w14:textId="77777777" w:rsidR="00A21629" w:rsidRDefault="00A21629" w:rsidP="00A21629">
      <w:pPr>
        <w:pStyle w:val="DHHSbody"/>
      </w:pPr>
      <w:r>
        <w:t>There are now five actions available instead of four, providing more choice and flexibility.</w:t>
      </w:r>
    </w:p>
    <w:p w14:paraId="562C2101" w14:textId="77777777" w:rsidR="00A21629" w:rsidRDefault="00A21629" w:rsidP="00A21629">
      <w:pPr>
        <w:pStyle w:val="DHHSbody"/>
        <w:spacing w:after="0"/>
      </w:pPr>
      <w:r>
        <w:rPr>
          <w:noProof/>
        </w:rPr>
        <w:drawing>
          <wp:inline distT="0" distB="0" distL="0" distR="0" wp14:anchorId="0ED55742" wp14:editId="151A341C">
            <wp:extent cx="6283103" cy="403316"/>
            <wp:effectExtent l="0" t="0" r="3810" b="0"/>
            <wp:docPr id="2" name="Picture 2" descr="Screen shot of five actions outlined in table bel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53640926-AAD7-44D8-BBD7-CCE9431645EC}">
  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a:blip>
                    <a:srcRect b="56123"/>
                    <a:stretch>
                      <a:fillRect/>
                    </a:stretch>
                  </pic:blipFill>
                  <pic:spPr>
                    <a:xfrm>
                      <a:off x="0" y="0"/>
                      <a:ext cx="6283103" cy="4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06B7" w14:textId="77777777" w:rsidR="00A21629" w:rsidRDefault="00A21629" w:rsidP="00A21629">
      <w:pPr>
        <w:pStyle w:val="DHHSbody"/>
      </w:pPr>
    </w:p>
    <w:tbl>
      <w:tblPr>
        <w:tblStyle w:val="ListTable3-Accent1"/>
        <w:tblpPr w:leftFromText="180" w:rightFromText="180" w:vertAnchor="text" w:horzAnchor="margin" w:tblpY="-6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  <w:gridCol w:w="3957"/>
      </w:tblGrid>
      <w:tr w:rsidR="00A21629" w14:paraId="46AE33E7" w14:textId="77777777" w:rsidTr="00A2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4" w:type="dxa"/>
            <w:tcBorders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3A3D9524" w14:textId="77777777" w:rsidR="00A21629" w:rsidRDefault="00A21629" w:rsidP="00723355">
            <w:pPr>
              <w:pStyle w:val="DHHSbody"/>
            </w:pPr>
            <w:r>
              <w:rPr>
                <w:color w:val="333333"/>
                <w:lang w:eastAsia="en-AU"/>
              </w:rPr>
              <w:t>Action name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678F46E4" w14:textId="77777777" w:rsidR="00A21629" w:rsidRDefault="00A21629" w:rsidP="00723355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What records will be displayed in the search results</w:t>
            </w:r>
          </w:p>
        </w:tc>
        <w:tc>
          <w:tcPr>
            <w:tcW w:w="3957" w:type="dxa"/>
            <w:shd w:val="clear" w:color="auto" w:fill="FDE9D9" w:themeFill="accent6" w:themeFillTint="33"/>
          </w:tcPr>
          <w:p w14:paraId="7E9F773C" w14:textId="77777777" w:rsidR="00A21629" w:rsidRDefault="00A21629" w:rsidP="00723355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What the action does (for the records you select)</w:t>
            </w:r>
          </w:p>
        </w:tc>
      </w:tr>
      <w:tr w:rsidR="00A21629" w14:paraId="74BCABC9" w14:textId="77777777" w:rsidTr="00A2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0A0F8B" w14:textId="77777777" w:rsidR="00A21629" w:rsidRDefault="00A21629" w:rsidP="00723355">
            <w:pPr>
              <w:pStyle w:val="DHHSbody"/>
            </w:pPr>
            <w:r>
              <w:rPr>
                <w:color w:val="333333"/>
                <w:lang w:eastAsia="en-AU"/>
              </w:rPr>
              <w:t>View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1030D2E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All pending referrals</w:t>
            </w:r>
          </w:p>
          <w:p w14:paraId="5D1D74B4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All active cases, including:</w:t>
            </w:r>
          </w:p>
          <w:p w14:paraId="4E12F2CF" w14:textId="77777777" w:rsidR="00A21629" w:rsidRPr="006F11CE" w:rsidRDefault="00A21629" w:rsidP="00A21629">
            <w:pPr>
              <w:pStyle w:val="DHHSbody"/>
              <w:numPr>
                <w:ilvl w:val="1"/>
                <w:numId w:val="23"/>
              </w:numPr>
              <w:spacing w:after="0"/>
              <w:ind w:left="5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Enrolments from a referral</w:t>
            </w:r>
          </w:p>
          <w:p w14:paraId="47F9CBBC" w14:textId="77777777" w:rsidR="00A21629" w:rsidRDefault="00A21629" w:rsidP="00A21629">
            <w:pPr>
              <w:pStyle w:val="DHHSbody"/>
              <w:numPr>
                <w:ilvl w:val="1"/>
                <w:numId w:val="23"/>
              </w:numPr>
              <w:spacing w:after="60"/>
              <w:ind w:left="5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Enrolments that bypassed referral</w:t>
            </w:r>
          </w:p>
        </w:tc>
        <w:tc>
          <w:tcPr>
            <w:tcW w:w="3957" w:type="dxa"/>
            <w:tcBorders>
              <w:top w:val="none" w:sz="0" w:space="0" w:color="auto"/>
              <w:bottom w:val="none" w:sz="0" w:space="0" w:color="auto"/>
            </w:tcBorders>
          </w:tcPr>
          <w:p w14:paraId="5509D1A6" w14:textId="77777777" w:rsidR="00A21629" w:rsidRDefault="00A21629" w:rsidP="0072335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View only.</w:t>
            </w:r>
          </w:p>
        </w:tc>
      </w:tr>
      <w:tr w:rsidR="00A21629" w14:paraId="5FACCFC8" w14:textId="77777777" w:rsidTr="00A21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none" w:sz="0" w:space="0" w:color="auto"/>
            </w:tcBorders>
          </w:tcPr>
          <w:p w14:paraId="05174019" w14:textId="77777777" w:rsidR="00A21629" w:rsidRDefault="00A21629" w:rsidP="00723355">
            <w:pPr>
              <w:pStyle w:val="DHHSbody"/>
            </w:pPr>
            <w:r>
              <w:rPr>
                <w:color w:val="333333"/>
                <w:lang w:eastAsia="en-AU"/>
              </w:rPr>
              <w:t>Accept Referral</w:t>
            </w:r>
          </w:p>
        </w:tc>
        <w:tc>
          <w:tcPr>
            <w:tcW w:w="3969" w:type="dxa"/>
          </w:tcPr>
          <w:p w14:paraId="6802BF25" w14:textId="77777777" w:rsidR="00A21629" w:rsidRPr="00E84B4F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All pending referrals</w:t>
            </w:r>
          </w:p>
        </w:tc>
        <w:tc>
          <w:tcPr>
            <w:tcW w:w="3957" w:type="dxa"/>
          </w:tcPr>
          <w:p w14:paraId="4C6BD3E5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6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333333"/>
              </w:rPr>
            </w:pPr>
            <w:r>
              <w:rPr>
                <w:color w:val="333333"/>
                <w:lang w:eastAsia="en-AU"/>
              </w:rPr>
              <w:t>Enrol into program (Status becomes Active)</w:t>
            </w:r>
          </w:p>
        </w:tc>
      </w:tr>
      <w:tr w:rsidR="00A21629" w14:paraId="28122EF6" w14:textId="77777777" w:rsidTr="00A2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AC1276" w14:textId="77777777" w:rsidR="00A21629" w:rsidRPr="008E578E" w:rsidRDefault="00A21629" w:rsidP="00723355">
            <w:pPr>
              <w:pStyle w:val="DHHSbody"/>
              <w:rPr>
                <w:color w:val="333333"/>
                <w:lang w:eastAsia="en-AU"/>
              </w:rPr>
            </w:pPr>
            <w:r w:rsidRPr="008E578E">
              <w:rPr>
                <w:color w:val="333333"/>
                <w:lang w:eastAsia="en-AU"/>
              </w:rPr>
              <w:t>Accept and Assign Referral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7B4CF46F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All pending referrals</w:t>
            </w:r>
          </w:p>
        </w:tc>
        <w:tc>
          <w:tcPr>
            <w:tcW w:w="3957" w:type="dxa"/>
            <w:tcBorders>
              <w:top w:val="none" w:sz="0" w:space="0" w:color="auto"/>
              <w:bottom w:val="none" w:sz="0" w:space="0" w:color="auto"/>
            </w:tcBorders>
          </w:tcPr>
          <w:p w14:paraId="524A2FAC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Enrol into program (Status becomes Active)</w:t>
            </w:r>
          </w:p>
          <w:p w14:paraId="0313C250" w14:textId="77777777" w:rsidR="00A21629" w:rsidRPr="00A62F15" w:rsidRDefault="00A21629" w:rsidP="00A21629">
            <w:pPr>
              <w:pStyle w:val="DHHSbody"/>
              <w:numPr>
                <w:ilvl w:val="0"/>
                <w:numId w:val="23"/>
              </w:numPr>
              <w:spacing w:after="6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Assign the selected clinician to the case</w:t>
            </w:r>
          </w:p>
        </w:tc>
      </w:tr>
      <w:tr w:rsidR="00A21629" w14:paraId="72092E90" w14:textId="77777777" w:rsidTr="00A21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right w:val="none" w:sz="0" w:space="0" w:color="auto"/>
            </w:tcBorders>
          </w:tcPr>
          <w:p w14:paraId="5CA05A2D" w14:textId="77777777" w:rsidR="00A21629" w:rsidRPr="008E578E" w:rsidRDefault="00A21629" w:rsidP="00723355">
            <w:pPr>
              <w:pStyle w:val="DHHSbody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Decline Referral</w:t>
            </w:r>
          </w:p>
        </w:tc>
        <w:tc>
          <w:tcPr>
            <w:tcW w:w="3969" w:type="dxa"/>
          </w:tcPr>
          <w:p w14:paraId="0EB053C8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All pending referrals</w:t>
            </w:r>
          </w:p>
        </w:tc>
        <w:tc>
          <w:tcPr>
            <w:tcW w:w="3957" w:type="dxa"/>
          </w:tcPr>
          <w:p w14:paraId="1D8AD48F" w14:textId="77777777" w:rsidR="00A21629" w:rsidRPr="006E06C3" w:rsidRDefault="00A21629" w:rsidP="00A21629">
            <w:pPr>
              <w:pStyle w:val="DHHSbody"/>
              <w:numPr>
                <w:ilvl w:val="0"/>
                <w:numId w:val="23"/>
              </w:numPr>
              <w:spacing w:after="6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Update referral status to 'Declined'</w:t>
            </w:r>
          </w:p>
        </w:tc>
      </w:tr>
      <w:tr w:rsidR="00A21629" w14:paraId="32A4D2BC" w14:textId="77777777" w:rsidTr="00A2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4C487D" w14:textId="77777777" w:rsidR="00A21629" w:rsidRPr="008E578E" w:rsidRDefault="00A21629" w:rsidP="00723355">
            <w:pPr>
              <w:pStyle w:val="DHHSbody"/>
              <w:rPr>
                <w:color w:val="333333"/>
                <w:lang w:eastAsia="en-AU"/>
              </w:rPr>
            </w:pPr>
            <w:r w:rsidRPr="008E578E">
              <w:rPr>
                <w:color w:val="333333"/>
                <w:lang w:eastAsia="en-AU"/>
              </w:rPr>
              <w:t>Assign Clinician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A85DF1E" w14:textId="77777777" w:rsidR="00A21629" w:rsidRDefault="00A21629" w:rsidP="00A21629">
            <w:pPr>
              <w:pStyle w:val="DHHSbody"/>
              <w:numPr>
                <w:ilvl w:val="0"/>
                <w:numId w:val="23"/>
              </w:numPr>
              <w:spacing w:after="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lang w:eastAsia="en-AU"/>
              </w:rPr>
            </w:pPr>
            <w:r>
              <w:rPr>
                <w:color w:val="333333"/>
                <w:lang w:eastAsia="en-AU"/>
              </w:rPr>
              <w:t>All active cases, including:</w:t>
            </w:r>
          </w:p>
          <w:p w14:paraId="3CCD5778" w14:textId="77777777" w:rsidR="00A21629" w:rsidRPr="006F11CE" w:rsidRDefault="00A21629" w:rsidP="00A21629">
            <w:pPr>
              <w:pStyle w:val="DHHSbody"/>
              <w:numPr>
                <w:ilvl w:val="1"/>
                <w:numId w:val="23"/>
              </w:numPr>
              <w:spacing w:after="0"/>
              <w:ind w:left="5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Enrolments from a referral</w:t>
            </w:r>
          </w:p>
          <w:p w14:paraId="2CA15AB4" w14:textId="77777777" w:rsidR="00A21629" w:rsidRDefault="00A21629" w:rsidP="00A21629">
            <w:pPr>
              <w:pStyle w:val="DHHSbody"/>
              <w:numPr>
                <w:ilvl w:val="1"/>
                <w:numId w:val="23"/>
              </w:numPr>
              <w:spacing w:after="60"/>
              <w:ind w:left="59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Enrolments that bypassed referral</w:t>
            </w:r>
          </w:p>
        </w:tc>
        <w:tc>
          <w:tcPr>
            <w:tcW w:w="3957" w:type="dxa"/>
            <w:tcBorders>
              <w:top w:val="none" w:sz="0" w:space="0" w:color="auto"/>
              <w:bottom w:val="none" w:sz="0" w:space="0" w:color="auto"/>
            </w:tcBorders>
          </w:tcPr>
          <w:p w14:paraId="45218980" w14:textId="77777777" w:rsidR="00A21629" w:rsidRDefault="00A21629" w:rsidP="00A21629">
            <w:pPr>
              <w:pStyle w:val="DHHSbody"/>
              <w:keepNext/>
              <w:numPr>
                <w:ilvl w:val="0"/>
                <w:numId w:val="23"/>
              </w:numPr>
              <w:spacing w:after="6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33333"/>
                <w:lang w:eastAsia="en-AU"/>
              </w:rPr>
              <w:t>Assign the selected clinician to the case</w:t>
            </w:r>
          </w:p>
        </w:tc>
      </w:tr>
    </w:tbl>
    <w:p w14:paraId="78354AF6" w14:textId="77777777" w:rsidR="00A21629" w:rsidRPr="009353B6" w:rsidRDefault="00A21629" w:rsidP="0076089D">
      <w:pPr>
        <w:pStyle w:val="DHHStablecaption"/>
        <w:rPr>
          <w:b w:val="0"/>
          <w:bCs/>
        </w:rPr>
      </w:pPr>
      <w:r w:rsidRPr="009353B6">
        <w:t xml:space="preserve">Table </w:t>
      </w:r>
      <w:r w:rsidR="003C63BC" w:rsidRPr="009353B6">
        <w:rPr>
          <w:b w:val="0"/>
          <w:bCs/>
        </w:rPr>
        <w:fldChar w:fldCharType="begin"/>
      </w:r>
      <w:r w:rsidR="003C63BC" w:rsidRPr="009353B6">
        <w:rPr>
          <w:b w:val="0"/>
          <w:bCs/>
        </w:rPr>
        <w:instrText xml:space="preserve"> SEQ Table \* ARABIC </w:instrText>
      </w:r>
      <w:r w:rsidR="003C63BC" w:rsidRPr="009353B6">
        <w:rPr>
          <w:b w:val="0"/>
          <w:bCs/>
        </w:rPr>
        <w:fldChar w:fldCharType="separate"/>
      </w:r>
      <w:r w:rsidRPr="009353B6">
        <w:rPr>
          <w:b w:val="0"/>
          <w:bCs/>
          <w:noProof/>
        </w:rPr>
        <w:t>1</w:t>
      </w:r>
      <w:r w:rsidR="003C63BC" w:rsidRPr="009353B6">
        <w:rPr>
          <w:b w:val="0"/>
          <w:bCs/>
          <w:noProof/>
        </w:rPr>
        <w:fldChar w:fldCharType="end"/>
      </w:r>
      <w:r w:rsidRPr="009353B6">
        <w:rPr>
          <w:b w:val="0"/>
          <w:bCs/>
        </w:rPr>
        <w:t>: Actions on Programs Active List screen</w:t>
      </w:r>
    </w:p>
    <w:p w14:paraId="2F89C950" w14:textId="77777777" w:rsidR="00A21629" w:rsidRDefault="00A21629" w:rsidP="00A21629">
      <w:pPr>
        <w:pStyle w:val="Heading1"/>
      </w:pPr>
      <w:bookmarkStart w:id="7" w:name="_Toc58236078"/>
      <w:r>
        <w:t>Displaying results</w:t>
      </w:r>
      <w:bookmarkEnd w:id="7"/>
    </w:p>
    <w:p w14:paraId="53FCC4F9" w14:textId="77777777" w:rsidR="00A21629" w:rsidRDefault="00A21629" w:rsidP="00A21629">
      <w:pPr>
        <w:pStyle w:val="DHHSbody"/>
      </w:pPr>
      <w:r>
        <w:t>There are some changes to the columns that display search results.</w:t>
      </w:r>
    </w:p>
    <w:p w14:paraId="231D662A" w14:textId="77777777" w:rsidR="00A21629" w:rsidRDefault="00A21629" w:rsidP="00A21629">
      <w:pPr>
        <w:pStyle w:val="Heading3"/>
      </w:pPr>
      <w:bookmarkStart w:id="8" w:name="_Toc58236079"/>
      <w:r>
        <w:t>Name</w:t>
      </w:r>
      <w:bookmarkEnd w:id="8"/>
    </w:p>
    <w:p w14:paraId="39E52DB4" w14:textId="77777777" w:rsidR="00A21629" w:rsidRDefault="00A21629" w:rsidP="00A21629">
      <w:pPr>
        <w:pStyle w:val="DHHSbody"/>
      </w:pPr>
      <w:r>
        <w:t>There is no change here for regular programs.</w:t>
      </w:r>
    </w:p>
    <w:p w14:paraId="28172111" w14:textId="77777777" w:rsidR="00A21629" w:rsidRDefault="00A21629" w:rsidP="00A21629">
      <w:pPr>
        <w:pStyle w:val="DHHSbody"/>
      </w:pPr>
      <w:r>
        <w:t>For Integrated Programs, the name displayed will be the name of the program’s lead client.</w:t>
      </w:r>
    </w:p>
    <w:p w14:paraId="1A5C5861" w14:textId="77777777" w:rsidR="00A21629" w:rsidRPr="005D3D61" w:rsidRDefault="00A21629" w:rsidP="00A21629">
      <w:pPr>
        <w:pStyle w:val="Heading3"/>
      </w:pPr>
      <w:bookmarkStart w:id="9" w:name="_Toc58236080"/>
      <w:r w:rsidRPr="005D3D61">
        <w:t>Referral Type</w:t>
      </w:r>
      <w:bookmarkEnd w:id="9"/>
    </w:p>
    <w:p w14:paraId="63B7347D" w14:textId="77777777" w:rsidR="00A21629" w:rsidRDefault="00A21629" w:rsidP="00A21629">
      <w:pPr>
        <w:pStyle w:val="DHHSbody"/>
      </w:pPr>
      <w:r>
        <w:t>Column “Referral Type” will display “Internal” for active program enrolments that were accepted via referral, and “Bypassed” for cases that bypassed the referral process.</w:t>
      </w:r>
    </w:p>
    <w:p w14:paraId="0665828B" w14:textId="77777777" w:rsidR="00A21629" w:rsidRPr="005D3D61" w:rsidRDefault="00A21629" w:rsidP="00A21629">
      <w:pPr>
        <w:pStyle w:val="Heading3"/>
      </w:pPr>
      <w:bookmarkStart w:id="10" w:name="_Toc58236081"/>
      <w:r w:rsidRPr="005D3D61">
        <w:t>Hours</w:t>
      </w:r>
      <w:bookmarkEnd w:id="10"/>
    </w:p>
    <w:p w14:paraId="7F4DCDE2" w14:textId="34F6BBC0" w:rsidR="00A21629" w:rsidRDefault="002E658C" w:rsidP="00A21629">
      <w:pPr>
        <w:pStyle w:val="DHHSbody"/>
      </w:pPr>
      <w:r>
        <w:t>The Programs Active List</w:t>
      </w:r>
      <w:r w:rsidRPr="00800EE3">
        <w:t xml:space="preserve"> previously </w:t>
      </w:r>
      <w:r>
        <w:t>included an ‘Hours’ column, which displayed</w:t>
      </w:r>
      <w:r w:rsidRPr="00800EE3">
        <w:t xml:space="preserve"> the hours </w:t>
      </w:r>
      <w:r>
        <w:t xml:space="preserve">of a program enrolment, but only included the scheduled consultation time and only when the </w:t>
      </w:r>
      <w:r w:rsidR="00665178">
        <w:t>p</w:t>
      </w:r>
      <w:r>
        <w:t xml:space="preserve">rogram was selected on the appointment screen. </w:t>
      </w:r>
      <w:r w:rsidR="00A21629" w:rsidRPr="003D6B1C">
        <w:t>This column has been removed</w:t>
      </w:r>
      <w:r w:rsidR="00A21629">
        <w:t xml:space="preserve"> and replaced with “Delivered Hours” (see below).</w:t>
      </w:r>
    </w:p>
    <w:p w14:paraId="67D08554" w14:textId="0E1270FE" w:rsidR="005A38A3" w:rsidRPr="00AA3CFD" w:rsidRDefault="002B7877" w:rsidP="00A21629">
      <w:pPr>
        <w:pStyle w:val="DHHSbody"/>
      </w:pPr>
      <w:r>
        <w:t>Some service providers may have</w:t>
      </w:r>
      <w:r w:rsidR="00FC44CE">
        <w:t xml:space="preserve"> been using the Hours column to calculate program delivery time</w:t>
      </w:r>
      <w:r w:rsidR="005F59D2">
        <w:t>,</w:t>
      </w:r>
      <w:r w:rsidR="00FC44CE">
        <w:t xml:space="preserve"> fo</w:t>
      </w:r>
      <w:r w:rsidR="00993EBB">
        <w:t>r reporting purposes</w:t>
      </w:r>
      <w:r w:rsidR="00FC44CE">
        <w:t>.</w:t>
      </w:r>
      <w:r w:rsidR="002A3642">
        <w:t xml:space="preserve"> An alternative</w:t>
      </w:r>
      <w:r w:rsidR="00993EBB">
        <w:t xml:space="preserve"> </w:t>
      </w:r>
      <w:r w:rsidR="008732B3">
        <w:t xml:space="preserve">reporting </w:t>
      </w:r>
      <w:r w:rsidR="00993EBB">
        <w:t>method</w:t>
      </w:r>
      <w:r w:rsidR="00BB194F">
        <w:t xml:space="preserve"> </w:t>
      </w:r>
      <w:r w:rsidR="002270D0">
        <w:t>is</w:t>
      </w:r>
      <w:r w:rsidR="00BB194F">
        <w:t xml:space="preserve"> </w:t>
      </w:r>
      <w:proofErr w:type="gramStart"/>
      <w:r w:rsidR="00BB194F">
        <w:t>use</w:t>
      </w:r>
      <w:proofErr w:type="gramEnd"/>
      <w:r w:rsidR="00BB194F">
        <w:t xml:space="preserve"> the Data </w:t>
      </w:r>
      <w:r w:rsidR="00F92ADF">
        <w:t>E</w:t>
      </w:r>
      <w:r w:rsidR="00BB194F">
        <w:t>xtract report to count Additional Consultation hours</w:t>
      </w:r>
      <w:r w:rsidR="002270D0">
        <w:t>, filtered by reason</w:t>
      </w:r>
      <w:r w:rsidR="00BB194F">
        <w:t>.</w:t>
      </w:r>
      <w:r w:rsidR="00F92ADF">
        <w:t xml:space="preserve"> Further support will be provided to </w:t>
      </w:r>
      <w:r w:rsidR="001D760A">
        <w:t>managers and coordinators to use this alternative approach.</w:t>
      </w:r>
    </w:p>
    <w:p w14:paraId="66E04A90" w14:textId="77777777" w:rsidR="00A21629" w:rsidRDefault="00A21629" w:rsidP="00A21629">
      <w:pPr>
        <w:pStyle w:val="Heading3"/>
      </w:pPr>
      <w:bookmarkStart w:id="11" w:name="_Toc58236082"/>
      <w:r w:rsidRPr="004A1C5B">
        <w:t>Delivered Hours</w:t>
      </w:r>
      <w:bookmarkEnd w:id="11"/>
    </w:p>
    <w:p w14:paraId="45997311" w14:textId="77777777" w:rsidR="00A21629" w:rsidRDefault="00A21629" w:rsidP="00A21629">
      <w:pPr>
        <w:pStyle w:val="DHHSbody"/>
      </w:pPr>
      <w:r>
        <w:t xml:space="preserve">This column </w:t>
      </w:r>
      <w:r w:rsidRPr="004A1C5B">
        <w:t>shows the actual delivered hours of a</w:t>
      </w:r>
      <w:r>
        <w:t>n Integrated</w:t>
      </w:r>
      <w:r w:rsidRPr="004A1C5B">
        <w:t xml:space="preserve"> </w:t>
      </w:r>
      <w:r>
        <w:t xml:space="preserve">Program </w:t>
      </w:r>
      <w:r w:rsidRPr="004A1C5B">
        <w:t>case</w:t>
      </w:r>
      <w:r w:rsidRPr="004A1C5B" w:rsidDel="00A51AD5">
        <w:t>,</w:t>
      </w:r>
      <w:r w:rsidRPr="004A1C5B">
        <w:t xml:space="preserve"> being the time taken in delivering all consultations and ‘Client Not Present’ actions linked to the case. Click the triangle below the Total value to see a breakdown of Direct time, Indirect time and Travel time.</w:t>
      </w:r>
    </w:p>
    <w:p w14:paraId="2AE03D93" w14:textId="77777777" w:rsidR="00A21629" w:rsidRDefault="00A21629" w:rsidP="00A21629">
      <w:pPr>
        <w:pStyle w:val="DHHSbody"/>
      </w:pPr>
      <w:r>
        <w:t>No time information will appear here for programs that are not Integrated Programs.</w:t>
      </w:r>
    </w:p>
    <w:p w14:paraId="77A7078A" w14:textId="77777777" w:rsidR="00A21629" w:rsidRPr="005D3D61" w:rsidRDefault="00A21629" w:rsidP="00A21629">
      <w:pPr>
        <w:pStyle w:val="Heading3"/>
      </w:pPr>
      <w:bookmarkStart w:id="12" w:name="_Toc58236083"/>
      <w:r w:rsidRPr="005D3D61">
        <w:t>Program</w:t>
      </w:r>
      <w:bookmarkEnd w:id="12"/>
    </w:p>
    <w:p w14:paraId="5DD942D9" w14:textId="77777777" w:rsidR="00A21629" w:rsidRDefault="00A21629" w:rsidP="00A21629">
      <w:pPr>
        <w:pStyle w:val="DHHSbody"/>
      </w:pPr>
      <w:r>
        <w:t>There is no change here for regular programs.</w:t>
      </w:r>
    </w:p>
    <w:p w14:paraId="72E679A3" w14:textId="77777777" w:rsidR="00A21629" w:rsidRDefault="00A21629" w:rsidP="00A21629">
      <w:pPr>
        <w:pStyle w:val="DHHSbody"/>
      </w:pPr>
      <w:r>
        <w:t xml:space="preserve">For Integrated Programs, the Program Name displayed in this column will be a </w:t>
      </w:r>
      <w:r w:rsidRPr="005D3D61">
        <w:rPr>
          <w:color w:val="0070C0"/>
        </w:rPr>
        <w:t>link</w:t>
      </w:r>
      <w:r>
        <w:t xml:space="preserve"> through to the Case Summary Screen for the program.</w:t>
      </w:r>
    </w:p>
    <w:p w14:paraId="6DBC1155" w14:textId="295B3365" w:rsidR="006F6B8C" w:rsidRPr="00087228" w:rsidRDefault="006F6B8C" w:rsidP="007933F7">
      <w:pPr>
        <w:pStyle w:val="DHHSbody"/>
        <w:rPr>
          <w:color w:val="007B4B"/>
          <w:sz w:val="26"/>
          <w:szCs w:val="26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48327E9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E94B" w14:textId="77777777" w:rsidR="000B3988" w:rsidRDefault="000B3988" w:rsidP="000B3988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t xml:space="preserve">To receive this publication in an accessible format phone 1300 650 172, using the National Relay Service 13 36 77 if required, or </w:t>
            </w:r>
            <w:hyperlink r:id="rId16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3B45C66D" w14:textId="77777777" w:rsidR="000B3988" w:rsidRDefault="000B3988" w:rsidP="000B3988">
            <w:pPr>
              <w:pStyle w:val="DHHSbody"/>
            </w:pPr>
            <w:r>
              <w:rPr>
                <w:rStyle w:val="normaltextrun1"/>
              </w:rPr>
              <w:t>Authorised and published by the Victorian Government, 1 Treasury Place, Melbourne.</w:t>
            </w:r>
            <w:r>
              <w:rPr>
                <w:rStyle w:val="eop"/>
              </w:rPr>
              <w:t> </w:t>
            </w:r>
          </w:p>
          <w:p w14:paraId="7EDA17D0" w14:textId="77777777" w:rsidR="000B3988" w:rsidRDefault="000B3988" w:rsidP="000B3988">
            <w:pPr>
              <w:pStyle w:val="DHHSbody"/>
            </w:pPr>
            <w:r>
              <w:rPr>
                <w:rStyle w:val="normaltextrun1"/>
              </w:rPr>
              <w:t>© State of Victoria, Australia, Department of Health and Human Services June 2020.</w:t>
            </w:r>
            <w:r>
              <w:rPr>
                <w:rStyle w:val="eop"/>
              </w:rPr>
              <w:t> </w:t>
            </w:r>
          </w:p>
          <w:p w14:paraId="0FD08D10" w14:textId="66CDB0D1" w:rsidR="000B3988" w:rsidRDefault="00266007" w:rsidP="000B3988">
            <w:pPr>
              <w:pStyle w:val="DHHSbody"/>
              <w:rPr>
                <w:rStyle w:val="normaltextrun1"/>
              </w:rPr>
            </w:pPr>
            <w:r w:rsidRPr="00266007">
              <w:rPr>
                <w:rStyle w:val="normaltextrun1"/>
              </w:rPr>
              <w:t>ISBN 978-1-76096-241-8</w:t>
            </w:r>
            <w:r>
              <w:rPr>
                <w:rStyle w:val="normaltextrun1"/>
              </w:rPr>
              <w:t xml:space="preserve"> </w:t>
            </w:r>
            <w:r w:rsidR="000B3988">
              <w:rPr>
                <w:rStyle w:val="normaltextrun1"/>
              </w:rPr>
              <w:t>(pdf/online/MS word)</w:t>
            </w:r>
          </w:p>
          <w:p w14:paraId="58121167" w14:textId="4EC05416" w:rsidR="006254F8" w:rsidRPr="002802E3" w:rsidRDefault="000B3988" w:rsidP="000B3988">
            <w:pPr>
              <w:pStyle w:val="DHHSbody"/>
            </w:pPr>
            <w:r>
              <w:rPr>
                <w:rStyle w:val="normaltextrun1"/>
              </w:rPr>
              <w:t xml:space="preserve">Available at </w:t>
            </w:r>
            <w:hyperlink r:id="rId17" w:tgtFrame="_blank" w:history="1">
              <w:r>
                <w:rPr>
                  <w:rStyle w:val="Hyperlink"/>
                </w:rPr>
                <w:t>health.vic – Child Development Information System</w:t>
              </w:r>
            </w:hyperlink>
            <w:r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>
              <w:rPr>
                <w:rStyle w:val="eop"/>
              </w:rPr>
              <w:t> </w:t>
            </w:r>
          </w:p>
        </w:tc>
      </w:tr>
    </w:tbl>
    <w:p w14:paraId="542EA54B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DF3A" w14:textId="77777777" w:rsidR="00E26B26" w:rsidRDefault="00E26B26">
      <w:r>
        <w:separator/>
      </w:r>
    </w:p>
  </w:endnote>
  <w:endnote w:type="continuationSeparator" w:id="0">
    <w:p w14:paraId="4B9CDD68" w14:textId="77777777" w:rsidR="00E26B26" w:rsidRDefault="00E26B26">
      <w:r>
        <w:continuationSeparator/>
      </w:r>
    </w:p>
  </w:endnote>
  <w:endnote w:type="continuationNotice" w:id="1">
    <w:p w14:paraId="3EEEEA4B" w14:textId="77777777" w:rsidR="00E26B26" w:rsidRDefault="00E26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6804" w14:textId="33C02520" w:rsidR="009D70A4" w:rsidRPr="00F65AA9" w:rsidRDefault="00A21629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D5D04EE" wp14:editId="076742A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b7144125b11c600fa986af9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F547A" w14:textId="0DBF7420" w:rsidR="00A21629" w:rsidRPr="00A21629" w:rsidRDefault="00A21629" w:rsidP="00A2162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2162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D04EE" id="_x0000_t202" coordsize="21600,21600" o:spt="202" path="m,l,21600r21600,l21600,xe">
              <v:stroke joinstyle="miter"/>
              <v:path gradientshapeok="t" o:connecttype="rect"/>
            </v:shapetype>
            <v:shape id="MSIPCMb7144125b11c600fa986af9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1yrQIAAEUFAAAOAAAAZHJzL2Uyb0RvYy54bWysVMlu2zAQvRfoPxA89NRGUmx5a+TAdeAm&#10;gJMYcIqcaYq0BEgchqQjuUX/vUMtTpr2VPRCDeeNZn3Di8u6LMizMDYHldDoLKREKA5prvYJ/faw&#10;+jShxDqmUlaAEgk9Cksv5+/fXVR6Js4hgyIVhqATZWeVTmjmnJ4FgeWZKJk9Ay0UghJMyRxezT5I&#10;DavQe1kE52E4CiowqTbAhbWovWpBOm/8Sym4u5fSCkeKhGJurjlNc+78Gcwv2GxvmM5y3qXB/iGL&#10;kuUKg55cXTHHyMHkf7gqc27AgnRnHMoApMy5aGrAaqLwTTXbjGnR1ILNsfrUJvv/3PK7540heZrQ&#10;ASWKlTii2+3NZnm7G0fDYXQe76KIj8JQsulkxOR0R0kqLMcO/vjwdAD3+ZrZbAmpaG+zaTgcx5PB&#10;KPrYwSLfZ64DJ0MkSAc85qnLOn08jU/6TcG4KIXq/2lNVgBOmFbuHNyoVNSdg/azMXnJzPE3qy0y&#10;AKnZ2fVZPYDuNOEp8FrIPiYqf3pmVNrOsEFbjS1y9ReokeG93qLSD7yWpvRfHCVBHDl2PPFK1I5w&#10;VI7jUTiIEOKIDaJoPIm9m+Dlb22s+yqgJF5IqMGsGzqx57V1rWlv4oMpWOVF0XC3UKRK6GgQh80P&#10;JwSdFwpj+BraXL3k6l3dFbaD9Ih1GWh3wmq+yjH4mlm3YQaXAPPFxXb3eMgCMAh0EiUZmO9/03t7&#10;5CailFS4VAm1TwdmBCXFjULWTpFTfgubCwrmtXbXa9WhXALua4RPh+aN6G1d0YvSQPmIe7/w0RBi&#10;imPMhCI5W3Hp8IYAvhtcLBaNjPummVurrebetW+jb+lD/ciM7vrucGJ30K8dm71pf2vbDmBxcCDz&#10;Zja+sW03u37jrjbT7d4V/xi8vjdWL6/f/Bc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AaGrXK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6DF547A" w14:textId="0DBF7420" w:rsidR="00A21629" w:rsidRPr="00A21629" w:rsidRDefault="00A21629" w:rsidP="00A2162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2162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F338EE4" wp14:editId="37FD98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CDC1" w14:textId="7952E600" w:rsidR="00A21629" w:rsidRDefault="00A216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C4E8176" wp14:editId="3AAFEF9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5eb5476185b1b67b8c03666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6A9FC" w14:textId="786A6C90" w:rsidR="00A21629" w:rsidRPr="00A21629" w:rsidRDefault="00A21629" w:rsidP="00A2162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2162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E8176" id="_x0000_t202" coordsize="21600,21600" o:spt="202" path="m,l,21600r21600,l21600,xe">
              <v:stroke joinstyle="miter"/>
              <v:path gradientshapeok="t" o:connecttype="rect"/>
            </v:shapetype>
            <v:shape id="MSIPCM5eb5476185b1b67b8c03666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vDrwIAAE4FAAAOAAAAZHJzL2Uyb0RvYy54bWysVEtv2zAMvg/YfxB02Gmr7SZO0qxOkaXI&#10;ViB9AOnQsyzLsQFbVCWlcTfsv4+S5bTodhqWg0Lxo/n4SOr8omsb8iS0qUFmNDmJKRGSQ1HLXUa/&#10;368/zSgxlsmCNSBFRp+FoReL9+/OD2ouTqGCphCaoBNp5geV0cpaNY8iwyvRMnMCSkgES9Ats3jV&#10;u6jQ7IDe2yY6jeNJdABdKA1cGIPayx6kC++/LAW3t2VphCVNRjE360/tz9yd0eKczXeaqarmIQ32&#10;D1m0rJYY9OjqkllG9rr+w1Vbcw0GSnvCoY2gLGsufA1YTRK/qWZbMSV8LUiOUUeazP9zy2+e7jSp&#10;i4ymlEjWYouut1d3q+tU5Ol4OklmaZ7kk2k+4/Fogj9KCmE4Mvjzw+Me7OdvzFQrKER/m5/F42k6&#10;G02SjwEW9a6yAZyNcUAC8FAXtgr69Cw96u8axkUr5PBNb7IGsEL3cnBwJQvRBQfBqNbG3rFdyCXY&#10;bXEGcDiD5ZDXPaigiY+hN6IcoqLyl5uNgzJzpGirkCTbfYEOZ3zQG1S6lnelbt0/NpMgjlP2fJws&#10;0VnCUTlNJ/EoQYgjNkqS6Sx1bqKXrxXm/lVAS5yQUY1Z+4FiTxtje9PBxAWTsK6bxk9vI8kho5NR&#10;GvsPjgg6byTGcDX0uTrJdnnn+32sI4fiGcvT0C+HUXztiNwwR6bGbcC0ccPtLR5lAxgLgkRJBfrH&#10;3/TOHocUUUoOuF0ZNY97pgUlzZXE8T1LxmO3jv6Cgn6tzQet3LcrwMVN8A1R3IvO1jaDWGpoH/AB&#10;WLpoCDHJMWZG80FcWbwhgA8IF8ull3HxFLMbuVXcuXZsOmbvuwemVaDfYuNuYNg/Nn/Thd6278Ny&#10;b6GsfYscvz2bgXZcWt/k8MC4V+H13Vu9PIOL3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eXQrw6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546A9FC" w14:textId="786A6C90" w:rsidR="00A21629" w:rsidRPr="00A21629" w:rsidRDefault="00A21629" w:rsidP="00A2162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2162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437E" w14:textId="77777777" w:rsidR="00A21629" w:rsidRPr="00A11421" w:rsidRDefault="00A2162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1888BAF" wp14:editId="4E63B3A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c4a449508df396f76605a77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E6EFEB" w14:textId="251111E0" w:rsidR="00A21629" w:rsidRPr="00A46B97" w:rsidRDefault="00A21629" w:rsidP="0072335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88BAF" id="_x0000_t202" coordsize="21600,21600" o:spt="202" path="m,l,21600r21600,l21600,xe">
              <v:stroke joinstyle="miter"/>
              <v:path gradientshapeok="t" o:connecttype="rect"/>
            </v:shapetype>
            <v:shape id="MSIPCMc4a449508df396f76605a77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disAIAAEwFAAAOAAAAZHJzL2Uyb0RvYy54bWysVN1v0zAQf0fif7D8wBMsSZv0i6VTKSpM&#10;6rZKHdqz6zhNpMTn2e6agvjfOTtJNwZPiBf77n7n+z5fXjV1RZ6ENiXIlEYXISVCcshKuU/pt/vV&#10;hwklxjKZsQqkSOlJGHo1f/vm8qhmYgAFVJnQBI1IMzuqlBbWqlkQGF6ImpkLUEIimIOumUVW74NM&#10;syNar6tgEIaj4Ag6Uxq4MAaln1uQzr39PBfc3uW5EZZUKcXYrD+1P3fuDOaXbLbXTBUl78Jg/xBF&#10;zUqJTs+mPjPLyEGXf5iqS67BQG4vONQB5HnJhc8Bs4nCV9lsC6aEzwWLY9S5TOb/meW3TxtNyiyl&#10;MSWS1diim+31ZnnDYxbH0yScZPlwOsrHo1GYsPE4oSQThmMFf7x7PID9+JWZYgmZaLnZNIzHyWQ4&#10;it53sCj3he3ASYwD0gEPZWaLTp5Mk7N8UzEuaiH7N63KCsAK3dKdgWuZiaYz0F4bXdZMn37T2uIE&#10;4Gh2eoPu7T2oThKeHa9F3vtE4U83GUdlZligrcIS2eYTNDjhvdyg0DW8yXXtbmwlQRxn7HSeK9FY&#10;wlE4TkbhMEKIIzaMovEkcWaC59dKG/tFQE0ckVKNUftxYk9rY1vVXsU5k7Aqq8rPbiXJMaWjYRL6&#10;B2cEjVcSfbgc2lgdZZtd47s96PPYQXbC9DS0q2EUX5UYw5oZu2EadwHDxv22d3jkFaAv6ChKCtDf&#10;/yZ3+jiiiFJyxN1KqXk8MC0oqa4lDu80imO3jJ5BQr+U7nqpPNRLwLWN8AdR3JNO11Y9mWuoH3D9&#10;F84bQkxy9JnSXU8uLXII4PfBxWLhaVw7xexabhV3pl01XWXvmwemVVd+i427hX772OxVF1rdtg+L&#10;g4W89C1y9W2r2ZUdV9Y3ufte3J/wkvdaz5/g/B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P/JN2K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AE6EFEB" w14:textId="251111E0" w:rsidR="00A21629" w:rsidRPr="00A46B97" w:rsidRDefault="00A21629" w:rsidP="0072335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59EE" w14:textId="0976E4DB" w:rsidR="009D70A4" w:rsidRPr="00A11421" w:rsidRDefault="00A2162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7AC393D" wp14:editId="4197C6AA">
              <wp:simplePos x="0" y="0"/>
              <wp:positionH relativeFrom="page">
                <wp:align>right</wp:align>
              </wp:positionH>
              <wp:positionV relativeFrom="margin">
                <wp:posOffset>9341438</wp:posOffset>
              </wp:positionV>
              <wp:extent cx="7560310" cy="311785"/>
              <wp:effectExtent l="0" t="0" r="0" b="12065"/>
              <wp:wrapNone/>
              <wp:docPr id="6" name="MSIPCMee0e4fa18682b167ad79d9db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7558C" w14:textId="73FD2119" w:rsidR="00A21629" w:rsidRPr="00A21629" w:rsidRDefault="00A21629" w:rsidP="00A2162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2162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C393D" id="_x0000_t202" coordsize="21600,21600" o:spt="202" path="m,l,21600r21600,l21600,xe">
              <v:stroke joinstyle="miter"/>
              <v:path gradientshapeok="t" o:connecttype="rect"/>
            </v:shapetype>
            <v:shape id="MSIPCMee0e4fa18682b167ad79d9db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544.1pt;margin-top:735.55pt;width:595.3pt;height:24.55pt;z-index:2516582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margin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nwsAIAAEwFAAAOAAAAZHJzL2Uyb0RvYy54bWysVEtv2zAMvg/YfxB02Gmr7ebt1SmyFFkL&#10;pG2AdOhZkeXYgC2qklI7G/bfR8l22nU7DbvYFD+Kz4+6uGyqkjwLbQqQCY3OQkqE5JAWcp/Qbw+r&#10;T1NKjGUyZSVIkdCjMPRy/v7dRa1icQ45lKnQBJ1IE9cqobm1Kg4Cw3NRMXMGSkgEM9AVs3jU+yDV&#10;rEbvVRmch+E4qEGnSgMXxqD2qgXp3PvPMsHtfZYZYUmZUMzN+q/23537BvMLFu81U3nBuzTYP2RR&#10;sUJi0JOrK2YZOejiD1dVwTUYyOwZhyqALCu48DVgNVH4ppptzpTwtWBzjDq1yfw/t/zueaNJkSZ0&#10;TIlkFY7odnuzWd4KEYphxqLpeHq+i8YTlk5m6SzdUZIKw7GDPz48HcB+vmYmX0Iq2lM8C4eT0XQw&#10;jj52sCj2ue3A6RAJ0gGPRWrzTj+ajU76Tcm4qITs77QmKwArdCt3Dm5kKprOQfvb6KJi+vib1RYZ&#10;gNTs7Abd3QdQnSY8BV6LrI+Jyp+OGbUyMTZoq7BFtvkCDTK81xtUuoE3ma7cH0dJEEeOHU+8Eo0l&#10;HJWT0TgcRAhxxAZRNJmOnJvg5bbSxn4VUBEnJFRj1p5O7HltbGvam7hgElZFWXrulpLUOLzBKPQX&#10;Tgg6LyXGcDW0uTrJNrvGT3vQ17GD9IjlaWhXwyi+KjCHNTN2wzTuAqaN+23v8ZOVgLGgkyjJQX//&#10;m97ZI0URpaTG3UqoeTowLSgpbySSdxYNh24Z/QEF/Vq767XyUC0B1zbCF0RxLzpbW/ZipqF6xPVf&#10;uGgIMckxZkKRo624tHhCAJ8PLhYLL+PaKWbXcqu4c+266Tr70Dwyrbr2WxzcHfTbx+I3U2ht2zks&#10;Dhaywo/I9bftZtd2XFk/5O55cW/C67O3enkE578AAAD//wMAUEsDBBQABgAIAAAAIQCf9R564AAA&#10;AAsBAAAPAAAAZHJzL2Rvd25yZXYueG1sTI/NTsMwEITvSLyDtUjcqJOoFJrGqRCICxJCLahnJ978&#10;NPE6it02eXu2J7jt7oxmv8m2k+3FGUffOlIQLyIQSKUzLdUKfr7fH55B+KDJ6N4RKpjRwza/vcl0&#10;atyFdnjeh1pwCPlUK2hCGFIpfdmg1X7hBiTWKjdaHXgda2lGfeFw28skilbS6pb4Q6MHfG2w7PYn&#10;q2D5tS4qeezs8XP+mOe2qw5vRaXU/d30sgERcAp/ZrjiMzrkzFS4ExkvegVcJPB1+RTHIK56vI5W&#10;IAqeHpMoAZln8n+H/BcAAP//AwBQSwECLQAUAAYACAAAACEAtoM4kv4AAADhAQAAEwAAAAAAAAAA&#10;AAAAAAAAAAAAW0NvbnRlbnRfVHlwZXNdLnhtbFBLAQItABQABgAIAAAAIQA4/SH/1gAAAJQBAAAL&#10;AAAAAAAAAAAAAAAAAC8BAABfcmVscy8ucmVsc1BLAQItABQABgAIAAAAIQDe0xnwsAIAAEwFAAAO&#10;AAAAAAAAAAAAAAAAAC4CAABkcnMvZTJvRG9jLnhtbFBLAQItABQABgAIAAAAIQCf9R564AAAAAsB&#10;AAAPAAAAAAAAAAAAAAAAAAoFAABkcnMvZG93bnJldi54bWxQSwUGAAAAAAQABADzAAAAFwYAAAAA&#10;" o:allowincell="f" filled="f" stroked="f" strokeweight=".5pt">
              <v:textbox inset=",0,,0">
                <w:txbxContent>
                  <w:p w14:paraId="4157558C" w14:textId="73FD2119" w:rsidR="00A21629" w:rsidRPr="00A21629" w:rsidRDefault="00A21629" w:rsidP="00A2162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2162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75629" w:rsidRPr="00475629">
      <w:t xml:space="preserve"> </w:t>
    </w:r>
    <w:r w:rsidR="00475629" w:rsidRPr="00475629">
      <w:rPr>
        <w:noProof/>
      </w:rPr>
      <w:t>CDIS Programs active list update – Dec 2020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0453" w14:textId="77777777" w:rsidR="00E26B26" w:rsidRDefault="00E26B26" w:rsidP="002862F1">
      <w:pPr>
        <w:spacing w:before="120"/>
      </w:pPr>
      <w:r>
        <w:separator/>
      </w:r>
    </w:p>
  </w:footnote>
  <w:footnote w:type="continuationSeparator" w:id="0">
    <w:p w14:paraId="004CF8D8" w14:textId="77777777" w:rsidR="00E26B26" w:rsidRDefault="00E26B26">
      <w:r>
        <w:continuationSeparator/>
      </w:r>
    </w:p>
  </w:footnote>
  <w:footnote w:type="continuationNotice" w:id="1">
    <w:p w14:paraId="42523DF3" w14:textId="77777777" w:rsidR="00E26B26" w:rsidRDefault="00E26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FB7A" w14:textId="77777777" w:rsidR="00A21629" w:rsidRPr="0051568D" w:rsidRDefault="00A21629" w:rsidP="0051568D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005422"/>
    <w:multiLevelType w:val="hybridMultilevel"/>
    <w:tmpl w:val="E13C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7228"/>
    <w:rsid w:val="0009113B"/>
    <w:rsid w:val="00093402"/>
    <w:rsid w:val="00094DA3"/>
    <w:rsid w:val="00095307"/>
    <w:rsid w:val="00096CD1"/>
    <w:rsid w:val="000A012C"/>
    <w:rsid w:val="000A0EB9"/>
    <w:rsid w:val="000A186C"/>
    <w:rsid w:val="000A1EA4"/>
    <w:rsid w:val="000B3988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33B42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0DAC"/>
    <w:rsid w:val="001C277E"/>
    <w:rsid w:val="001C2A72"/>
    <w:rsid w:val="001D0B75"/>
    <w:rsid w:val="001D3C09"/>
    <w:rsid w:val="001D44E8"/>
    <w:rsid w:val="001D60EC"/>
    <w:rsid w:val="001D760A"/>
    <w:rsid w:val="001E44DF"/>
    <w:rsid w:val="001E68A5"/>
    <w:rsid w:val="001E6BB0"/>
    <w:rsid w:val="001E727B"/>
    <w:rsid w:val="001F3826"/>
    <w:rsid w:val="001F6E46"/>
    <w:rsid w:val="001F7C91"/>
    <w:rsid w:val="00206463"/>
    <w:rsid w:val="00206F2F"/>
    <w:rsid w:val="0021053D"/>
    <w:rsid w:val="00210A92"/>
    <w:rsid w:val="00210D15"/>
    <w:rsid w:val="00216C03"/>
    <w:rsid w:val="00220C04"/>
    <w:rsid w:val="0022278D"/>
    <w:rsid w:val="0022701F"/>
    <w:rsid w:val="002270D0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6007"/>
    <w:rsid w:val="00267C3E"/>
    <w:rsid w:val="002709BB"/>
    <w:rsid w:val="00273BAC"/>
    <w:rsid w:val="002763B3"/>
    <w:rsid w:val="0027697F"/>
    <w:rsid w:val="002802E3"/>
    <w:rsid w:val="0028213D"/>
    <w:rsid w:val="002862F1"/>
    <w:rsid w:val="00291373"/>
    <w:rsid w:val="0029597D"/>
    <w:rsid w:val="002962C3"/>
    <w:rsid w:val="0029752B"/>
    <w:rsid w:val="002A3642"/>
    <w:rsid w:val="002A483C"/>
    <w:rsid w:val="002B056C"/>
    <w:rsid w:val="002B0C7C"/>
    <w:rsid w:val="002B1729"/>
    <w:rsid w:val="002B36C7"/>
    <w:rsid w:val="002B4DD4"/>
    <w:rsid w:val="002B5277"/>
    <w:rsid w:val="002B5375"/>
    <w:rsid w:val="002B77C1"/>
    <w:rsid w:val="002B7877"/>
    <w:rsid w:val="002C2728"/>
    <w:rsid w:val="002D5006"/>
    <w:rsid w:val="002E01D0"/>
    <w:rsid w:val="002E161D"/>
    <w:rsid w:val="002E3100"/>
    <w:rsid w:val="002E658C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219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63BC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75629"/>
    <w:rsid w:val="00483968"/>
    <w:rsid w:val="00484F86"/>
    <w:rsid w:val="00490746"/>
    <w:rsid w:val="00490852"/>
    <w:rsid w:val="00492F30"/>
    <w:rsid w:val="004946F4"/>
    <w:rsid w:val="0049487E"/>
    <w:rsid w:val="004A0296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15CF6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A38A3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9D2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396D"/>
    <w:rsid w:val="006557A7"/>
    <w:rsid w:val="00656290"/>
    <w:rsid w:val="006621D7"/>
    <w:rsid w:val="0066302A"/>
    <w:rsid w:val="00665178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3355"/>
    <w:rsid w:val="00724A43"/>
    <w:rsid w:val="007346E4"/>
    <w:rsid w:val="00740F22"/>
    <w:rsid w:val="00741F1A"/>
    <w:rsid w:val="00741FDA"/>
    <w:rsid w:val="007450F8"/>
    <w:rsid w:val="0074696E"/>
    <w:rsid w:val="00750135"/>
    <w:rsid w:val="00750EC2"/>
    <w:rsid w:val="00752B28"/>
    <w:rsid w:val="00754E36"/>
    <w:rsid w:val="00757E5F"/>
    <w:rsid w:val="0076089D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32B3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2BA"/>
    <w:rsid w:val="008B4D3D"/>
    <w:rsid w:val="008B57C7"/>
    <w:rsid w:val="008C2F92"/>
    <w:rsid w:val="008C6786"/>
    <w:rsid w:val="008D2203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53B6"/>
    <w:rsid w:val="00937BD9"/>
    <w:rsid w:val="00950E2C"/>
    <w:rsid w:val="00951D50"/>
    <w:rsid w:val="009525EB"/>
    <w:rsid w:val="00954874"/>
    <w:rsid w:val="009554F5"/>
    <w:rsid w:val="00961400"/>
    <w:rsid w:val="00963646"/>
    <w:rsid w:val="0096632D"/>
    <w:rsid w:val="0097559F"/>
    <w:rsid w:val="009853E1"/>
    <w:rsid w:val="00986E6B"/>
    <w:rsid w:val="00991769"/>
    <w:rsid w:val="00993EBB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1629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08C7"/>
    <w:rsid w:val="00AE126A"/>
    <w:rsid w:val="00AE3005"/>
    <w:rsid w:val="00AE3BD5"/>
    <w:rsid w:val="00AE59A0"/>
    <w:rsid w:val="00AF0C57"/>
    <w:rsid w:val="00AF0CC7"/>
    <w:rsid w:val="00AF26F3"/>
    <w:rsid w:val="00AF498F"/>
    <w:rsid w:val="00AF5F04"/>
    <w:rsid w:val="00B00672"/>
    <w:rsid w:val="00B01B4D"/>
    <w:rsid w:val="00B06571"/>
    <w:rsid w:val="00B068BA"/>
    <w:rsid w:val="00B13851"/>
    <w:rsid w:val="00B13B1C"/>
    <w:rsid w:val="00B14BB2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9A2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1338"/>
    <w:rsid w:val="00B90729"/>
    <w:rsid w:val="00B907DA"/>
    <w:rsid w:val="00B950BC"/>
    <w:rsid w:val="00B9714C"/>
    <w:rsid w:val="00BA29AD"/>
    <w:rsid w:val="00BA3F8D"/>
    <w:rsid w:val="00BB194F"/>
    <w:rsid w:val="00BB7A10"/>
    <w:rsid w:val="00BC7468"/>
    <w:rsid w:val="00BC7D4F"/>
    <w:rsid w:val="00BC7ED7"/>
    <w:rsid w:val="00BD2850"/>
    <w:rsid w:val="00BD491C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4487"/>
    <w:rsid w:val="00C863C4"/>
    <w:rsid w:val="00C87B63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3D9E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5AFB"/>
    <w:rsid w:val="00E16F33"/>
    <w:rsid w:val="00E170DC"/>
    <w:rsid w:val="00E26818"/>
    <w:rsid w:val="00E26B26"/>
    <w:rsid w:val="00E27FFC"/>
    <w:rsid w:val="00E30B15"/>
    <w:rsid w:val="00E40181"/>
    <w:rsid w:val="00E56A01"/>
    <w:rsid w:val="00E629A1"/>
    <w:rsid w:val="00E6363A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ADF"/>
    <w:rsid w:val="00F938BA"/>
    <w:rsid w:val="00FA2C46"/>
    <w:rsid w:val="00FA3525"/>
    <w:rsid w:val="00FA5A53"/>
    <w:rsid w:val="00FB21EF"/>
    <w:rsid w:val="00FB4769"/>
    <w:rsid w:val="00FB4CDA"/>
    <w:rsid w:val="00FC0F81"/>
    <w:rsid w:val="00FC395C"/>
    <w:rsid w:val="00FC44CE"/>
    <w:rsid w:val="00FD3766"/>
    <w:rsid w:val="00FD47C4"/>
    <w:rsid w:val="00FE2DCF"/>
    <w:rsid w:val="00FE3FA7"/>
    <w:rsid w:val="00FF2FCE"/>
    <w:rsid w:val="00FF4F7D"/>
    <w:rsid w:val="00FF6D9D"/>
    <w:rsid w:val="133D460B"/>
    <w:rsid w:val="3B68E4E6"/>
    <w:rsid w:val="5D624700"/>
    <w:rsid w:val="6D8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0707D0"/>
  <w15:docId w15:val="{0A5A5F7D-E38C-4092-98E3-A3B94A1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39"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table" w:styleId="ListTable3-Accent1">
    <w:name w:val="List Table 3 Accent 1"/>
    <w:basedOn w:val="TableNormal"/>
    <w:uiPriority w:val="48"/>
    <w:rsid w:val="00A216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DHHSbodyChar">
    <w:name w:val="DHHS body Char"/>
    <w:basedOn w:val="DefaultParagraphFont"/>
    <w:link w:val="DHHSbody"/>
    <w:rsid w:val="00A21629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21629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3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33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33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E16F3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6F33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0B3988"/>
  </w:style>
  <w:style w:type="character" w:customStyle="1" w:styleId="normaltextrun1">
    <w:name w:val="normaltextrun1"/>
    <w:basedOn w:val="DefaultParagraphFont"/>
    <w:rsid w:val="000B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primary-and-community-health/maternal-child-health/child-development-information-syst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h@dhhs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Simontoreview xmlns="35a6475d-fdaf-4e44-ad26-67993a5eb8cb">false</ReadyforSimontoreview>
    <ReadyforCheryl xmlns="35a6475d-fdaf-4e44-ad26-67993a5eb8cb">true</ReadyforChery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3" ma:contentTypeDescription="Create a new document." ma:contentTypeScope="" ma:versionID="b2777ec391c46b245c3719f8a80e99c4">
  <xsd:schema xmlns:xsd="http://www.w3.org/2001/XMLSchema" xmlns:xs="http://www.w3.org/2001/XMLSchema" xmlns:p="http://schemas.microsoft.com/office/2006/metadata/properties" xmlns:ns2="35a6475d-fdaf-4e44-ad26-67993a5eb8cb" xmlns:ns3="809e95fe-ce31-4ae8-bff2-815e252e6c7f" targetNamespace="http://schemas.microsoft.com/office/2006/metadata/properties" ma:root="true" ma:fieldsID="6131ccd5e00a6a5442401c97326e5dfd" ns2:_="" ns3:_="">
    <xsd:import namespace="35a6475d-fdaf-4e44-ad26-67993a5eb8cb"/>
    <xsd:import namespace="809e95fe-ce31-4ae8-bff2-815e252e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adyforSimontoreview" minOccurs="0"/>
                <xsd:element ref="ns2:ReadyforChery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adyforSimontoreview" ma:index="19" nillable="true" ma:displayName="Simon reviewed" ma:default="0" ma:description="Agreed process Sim &gt; Simon &gt; Cheryl" ma:format="Dropdown" ma:internalName="ReadyforSimontoreview">
      <xsd:simpleType>
        <xsd:restriction base="dms:Boolean"/>
      </xsd:simpleType>
    </xsd:element>
    <xsd:element name="ReadyforCheryl" ma:index="20" nillable="true" ma:displayName="Cheryl reviewed" ma:default="1" ma:description="Simon reviews and then updates this so Simone can share" ma:format="Dropdown" ma:internalName="ReadyforChery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3997C-12EB-47E5-837B-5D2F2AB13D70}">
  <ds:schemaRefs>
    <ds:schemaRef ds:uri="http://schemas.microsoft.com/office/2006/metadata/properties"/>
    <ds:schemaRef ds:uri="http://schemas.microsoft.com/office/infopath/2007/PartnerControls"/>
    <ds:schemaRef ds:uri="35a6475d-fdaf-4e44-ad26-67993a5eb8cb"/>
  </ds:schemaRefs>
</ds:datastoreItem>
</file>

<file path=customXml/itemProps2.xml><?xml version="1.0" encoding="utf-8"?>
<ds:datastoreItem xmlns:ds="http://schemas.openxmlformats.org/officeDocument/2006/customXml" ds:itemID="{F7DC0E85-F7F8-4F9D-B8DB-0716AFCBB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E99D0-A464-4C7B-B1D2-4D9A5D599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4819</Characters>
  <Application>Microsoft Office Word</Application>
  <DocSecurity>4</DocSecurity>
  <Lines>40</Lines>
  <Paragraphs>11</Paragraphs>
  <ScaleCrop>false</ScaleCrop>
  <Company>Department of Health and Human Services</Company>
  <LinksUpToDate>false</LinksUpToDate>
  <CharactersWithSpaces>5653</CharactersWithSpaces>
  <SharedDoc>false</SharedDoc>
  <HyperlinkBase/>
  <HLinks>
    <vt:vector size="72" baseType="variant">
      <vt:variant>
        <vt:i4>2162802</vt:i4>
      </vt:variant>
      <vt:variant>
        <vt:i4>69</vt:i4>
      </vt:variant>
      <vt:variant>
        <vt:i4>0</vt:i4>
      </vt:variant>
      <vt:variant>
        <vt:i4>5</vt:i4>
      </vt:variant>
      <vt:variant>
        <vt:lpwstr>https://www2.health.vic.gov.au/primary-and-community-health/maternal-child-health/child-development-information-system</vt:lpwstr>
      </vt:variant>
      <vt:variant>
        <vt:lpwstr/>
      </vt:variant>
      <vt:variant>
        <vt:i4>3538967</vt:i4>
      </vt:variant>
      <vt:variant>
        <vt:i4>66</vt:i4>
      </vt:variant>
      <vt:variant>
        <vt:i4>0</vt:i4>
      </vt:variant>
      <vt:variant>
        <vt:i4>5</vt:i4>
      </vt:variant>
      <vt:variant>
        <vt:lpwstr>mailto:mch@dhhs.vic.gov.au</vt:lpwstr>
      </vt:variant>
      <vt:variant>
        <vt:lpwstr/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_Toc58236083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_Toc58236082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_Toc58236081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_Toc58236080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_Toc58236079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_Toc58236078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_Toc58236077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_Toc58236076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_Toc58236075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_Toc58236074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Cripps (DHHS)</dc:creator>
  <cp:keywords/>
  <cp:lastModifiedBy>Simone Baxt (DHHS)</cp:lastModifiedBy>
  <cp:revision>38</cp:revision>
  <cp:lastPrinted>2017-07-07T17:32:00Z</cp:lastPrinted>
  <dcterms:created xsi:type="dcterms:W3CDTF">2020-11-30T14:43:00Z</dcterms:created>
  <dcterms:modified xsi:type="dcterms:W3CDTF">2020-12-07T23:26:00Z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2020-11-29T19:46:16Z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7475f2e2-e453-4e3d-a4fb-44d5296a6e65</vt:lpwstr>
  </property>
  <property fmtid="{D5CDD505-2E9C-101B-9397-08002B2CF9AE}" pid="9" name="MSIP_Label_43e64453-338c-4f93-8a4d-0039a0a41f2a_ContentBits">
    <vt:lpwstr>2</vt:lpwstr>
  </property>
  <property fmtid="{D5CDD505-2E9C-101B-9397-08002B2CF9AE}" pid="10" name="ContentTypeId">
    <vt:lpwstr>0x0101002F209C19F1B35A4D851C7AB95CE09F78</vt:lpwstr>
  </property>
</Properties>
</file>