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6CFFE" w14:textId="77777777" w:rsidR="00056EC4" w:rsidRDefault="00E9042A" w:rsidP="00977D59">
      <w:pPr>
        <w:pStyle w:val="Heading1"/>
      </w:pPr>
      <w:r w:rsidRPr="00977D59">
        <w:rPr>
          <w:noProof/>
        </w:rPr>
        <w:drawing>
          <wp:anchor distT="0" distB="0" distL="114300" distR="114300" simplePos="0" relativeHeight="251658240" behindDoc="1" locked="1" layoutInCell="1" allowOverlap="0" wp14:anchorId="0890E589" wp14:editId="39C26D85">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0948CE0" w14:textId="77777777" w:rsidTr="00431F42">
        <w:trPr>
          <w:cantSplit/>
        </w:trPr>
        <w:tc>
          <w:tcPr>
            <w:tcW w:w="0" w:type="auto"/>
            <w:tcMar>
              <w:top w:w="0" w:type="dxa"/>
              <w:left w:w="0" w:type="dxa"/>
              <w:right w:w="0" w:type="dxa"/>
            </w:tcMar>
          </w:tcPr>
          <w:p w14:paraId="5D3620C8" w14:textId="17D758E8" w:rsidR="00AD784C" w:rsidRPr="00431F42" w:rsidRDefault="00B35775" w:rsidP="00431F42">
            <w:pPr>
              <w:pStyle w:val="Documenttitle"/>
            </w:pPr>
            <w:r>
              <w:t>Non-Emergency Patient Transport (NEPT) Clinical Practice Protocols (CPP)</w:t>
            </w:r>
          </w:p>
        </w:tc>
      </w:tr>
      <w:tr w:rsidR="00AD784C" w14:paraId="6B7CCF1A" w14:textId="77777777" w:rsidTr="00431F42">
        <w:trPr>
          <w:cantSplit/>
        </w:trPr>
        <w:tc>
          <w:tcPr>
            <w:tcW w:w="0" w:type="auto"/>
          </w:tcPr>
          <w:p w14:paraId="5DED1649" w14:textId="39787257" w:rsidR="00386109" w:rsidRPr="00A1389F" w:rsidRDefault="00B35775" w:rsidP="009315BE">
            <w:pPr>
              <w:pStyle w:val="Documentsubtitle"/>
            </w:pPr>
            <w:r>
              <w:t>Change log for sector</w:t>
            </w:r>
          </w:p>
        </w:tc>
      </w:tr>
      <w:tr w:rsidR="00430393" w14:paraId="69D6CF8E" w14:textId="77777777" w:rsidTr="00431F42">
        <w:trPr>
          <w:cantSplit/>
        </w:trPr>
        <w:tc>
          <w:tcPr>
            <w:tcW w:w="0" w:type="auto"/>
          </w:tcPr>
          <w:p w14:paraId="2E2202EB" w14:textId="77777777" w:rsidR="00430393" w:rsidRDefault="00C25CC7" w:rsidP="00430393">
            <w:pPr>
              <w:pStyle w:val="Bannermarking"/>
            </w:pPr>
            <w:fldSimple w:instr=" FILLIN  &quot;Type the protective marking&quot; \d OFFICIAL \o  \* MERGEFORMAT ">
              <w:r w:rsidR="00B35775">
                <w:t>OFFICIAL</w:t>
              </w:r>
            </w:fldSimple>
          </w:p>
        </w:tc>
      </w:tr>
    </w:tbl>
    <w:p w14:paraId="2ABEF5E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CA789B5" w14:textId="55277830" w:rsidR="00EE29AD" w:rsidRPr="00A71CE4" w:rsidRDefault="0004716A" w:rsidP="00562811">
      <w:pPr>
        <w:pStyle w:val="Heading1"/>
        <w:spacing w:before="0"/>
      </w:pPr>
      <w:bookmarkStart w:id="0" w:name="_Hlk66712316"/>
      <w:r>
        <w:lastRenderedPageBreak/>
        <w:t xml:space="preserve">Clinical Practice Protocol (CPP) </w:t>
      </w:r>
      <w:r w:rsidR="00034E8D">
        <w:t>c</w:t>
      </w:r>
      <w:r w:rsidR="00B35775">
        <w:t xml:space="preserve">hange log </w:t>
      </w:r>
    </w:p>
    <w:p w14:paraId="2D132B72" w14:textId="423A4762" w:rsidR="0084775C" w:rsidRDefault="00B35775" w:rsidP="004A051B">
      <w:pPr>
        <w:pStyle w:val="Introtext"/>
      </w:pPr>
      <w:bookmarkStart w:id="1" w:name="_Toc66711981"/>
      <w:r>
        <w:t xml:space="preserve">The </w:t>
      </w:r>
      <w:r w:rsidR="00034E8D">
        <w:t xml:space="preserve">CPP </w:t>
      </w:r>
      <w:r>
        <w:t>change log assist</w:t>
      </w:r>
      <w:r w:rsidR="00034E8D">
        <w:t>s</w:t>
      </w:r>
      <w:r>
        <w:t xml:space="preserve"> the NEPT sector</w:t>
      </w:r>
      <w:r w:rsidR="00297872">
        <w:t xml:space="preserve"> to</w:t>
      </w:r>
      <w:r>
        <w:t xml:space="preserve"> transition from the 2019 edition to the 2023 edition</w:t>
      </w:r>
      <w:r w:rsidR="00034E8D">
        <w:t xml:space="preserve"> of the CPPs</w:t>
      </w:r>
      <w:r>
        <w:t>.</w:t>
      </w:r>
      <w:r w:rsidR="004A051B">
        <w:t xml:space="preserve"> </w:t>
      </w:r>
      <w:r w:rsidR="00DC570E">
        <w:t>V</w:t>
      </w:r>
      <w:r w:rsidR="00BC543B">
        <w:t xml:space="preserve">ariation to established practice </w:t>
      </w:r>
      <w:r w:rsidR="00DC570E">
        <w:t>is highlight</w:t>
      </w:r>
      <w:r w:rsidR="0084775C">
        <w:t>ed</w:t>
      </w:r>
      <w:r w:rsidR="00DC570E">
        <w:t xml:space="preserve"> within the change log and </w:t>
      </w:r>
      <w:r w:rsidR="00736A4A">
        <w:t>was made with consideration following consultation</w:t>
      </w:r>
      <w:r w:rsidR="004A051B">
        <w:t>.</w:t>
      </w:r>
    </w:p>
    <w:p w14:paraId="65AEB4B8" w14:textId="74962696" w:rsidR="000C7CB7" w:rsidRDefault="00DE0D8C" w:rsidP="004A051B">
      <w:pPr>
        <w:pStyle w:val="Introtext"/>
      </w:pPr>
      <w:r>
        <w:t>NEPT licence holders are required to transition to the 2023 CPPs by 31 May 202</w:t>
      </w:r>
      <w:r w:rsidR="00C25CC7">
        <w:t>4</w:t>
      </w:r>
      <w:r>
        <w:t xml:space="preserve">. This </w:t>
      </w:r>
      <w:r w:rsidR="00A65719">
        <w:t>transition</w:t>
      </w:r>
      <w:r>
        <w:t xml:space="preserve"> period allows NEPT licence holders to ensure NEPT workforce are </w:t>
      </w:r>
      <w:r w:rsidR="00A65719">
        <w:t xml:space="preserve">trained and competent in the use of the 2023 CPPs. </w:t>
      </w:r>
    </w:p>
    <w:p w14:paraId="5C277C28" w14:textId="77777777" w:rsidR="00857BE3" w:rsidRDefault="00857BE3" w:rsidP="00857BE3">
      <w:pPr>
        <w:pStyle w:val="Heading2"/>
      </w:pPr>
      <w:bookmarkStart w:id="2" w:name="_Toc135054699"/>
      <w:r>
        <w:t>2023 edition – review overview</w:t>
      </w:r>
      <w:bookmarkEnd w:id="2"/>
    </w:p>
    <w:p w14:paraId="71D2E561" w14:textId="77777777" w:rsidR="00857BE3" w:rsidRDefault="00857BE3" w:rsidP="00857BE3">
      <w:pPr>
        <w:pStyle w:val="Body"/>
      </w:pPr>
      <w:r>
        <w:t xml:space="preserve">The 2023 edition of the NEPT CPPs has been developed within the scope and terms of reference of the Clinical Practice Protocol Assessment Committee (CPPAC) from the Department of Health. Consultation has been sought from a wide range </w:t>
      </w:r>
      <w:r w:rsidRPr="00C01EBE">
        <w:t>of</w:t>
      </w:r>
      <w:r>
        <w:t xml:space="preserve"> sources including NEPT providers, workforce, the Office of the Clinical Chiefs (Safer Care Victoria), Ambulance Victoria and industrial relations bodies. Subject matter expertise (SME) advice has been sought where required for specific protocols. Clinical scope of practice has been aligned and clarified for different levels of NEPT crew members (PTO, ATA, EN, RN, CCRN) and licence holders should consider these different levels when considering service delivery requirements. Effort has been made to ensure that treatment recommendations contained within the CPPs are best practice for NEPT service delivery at time of publication.</w:t>
      </w:r>
    </w:p>
    <w:p w14:paraId="42B6B07A" w14:textId="77777777" w:rsidR="00857BE3" w:rsidRDefault="00857BE3" w:rsidP="00857BE3">
      <w:pPr>
        <w:pStyle w:val="Body"/>
      </w:pPr>
      <w:r>
        <w:t xml:space="preserve">This review sought to: </w:t>
      </w:r>
    </w:p>
    <w:p w14:paraId="79349463" w14:textId="77777777" w:rsidR="00857BE3" w:rsidRDefault="00857BE3" w:rsidP="00857BE3">
      <w:pPr>
        <w:pStyle w:val="Bullet1"/>
        <w:spacing w:before="40"/>
      </w:pPr>
      <w:r w:rsidRPr="00FE002C">
        <w:t>ensure best-practice treatment pathways are recommended</w:t>
      </w:r>
    </w:p>
    <w:p w14:paraId="23B218E2" w14:textId="054312CA" w:rsidR="00857BE3" w:rsidRPr="00FE002C" w:rsidRDefault="00857BE3" w:rsidP="00857BE3">
      <w:pPr>
        <w:pStyle w:val="Bullet1"/>
        <w:spacing w:before="40"/>
      </w:pPr>
      <w:r w:rsidRPr="00FE002C">
        <w:t>develop new protocols to assist NEPT workforce to manage conditions and situations reasonably expected to be encountered during NEPT service delivery</w:t>
      </w:r>
    </w:p>
    <w:p w14:paraId="2CE7D7C1" w14:textId="77777777" w:rsidR="00857BE3" w:rsidRDefault="00857BE3" w:rsidP="00857BE3">
      <w:pPr>
        <w:pStyle w:val="Bullet1"/>
        <w:spacing w:before="40"/>
      </w:pPr>
      <w:r w:rsidRPr="00FE002C">
        <w:t>clarify and prescribe minimum equipment standards required</w:t>
      </w:r>
    </w:p>
    <w:p w14:paraId="50347806" w14:textId="4FE20508" w:rsidR="00857BE3" w:rsidRPr="00FE002C" w:rsidRDefault="00857BE3" w:rsidP="00857BE3">
      <w:pPr>
        <w:pStyle w:val="Bullet1"/>
        <w:spacing w:before="40"/>
      </w:pPr>
      <w:r w:rsidRPr="00FE002C">
        <w:t>where appropriate, update the scope of practice for NEPT workforce to align with current training</w:t>
      </w:r>
    </w:p>
    <w:p w14:paraId="3C4619D1" w14:textId="77777777" w:rsidR="00857BE3" w:rsidRDefault="00857BE3" w:rsidP="00857BE3">
      <w:pPr>
        <w:pStyle w:val="Bullet1"/>
        <w:spacing w:before="40"/>
      </w:pPr>
      <w:r>
        <w:t>update to reflect legislative changes</w:t>
      </w:r>
    </w:p>
    <w:p w14:paraId="357975F6" w14:textId="77777777" w:rsidR="00857BE3" w:rsidRDefault="00857BE3" w:rsidP="00857BE3">
      <w:pPr>
        <w:pStyle w:val="Bodyafterbullets"/>
      </w:pPr>
      <w:r>
        <w:t xml:space="preserve">This review did not </w:t>
      </w:r>
      <w:r w:rsidRPr="00C01EBE">
        <w:t>seek</w:t>
      </w:r>
      <w:r>
        <w:t xml:space="preserve"> to:</w:t>
      </w:r>
    </w:p>
    <w:p w14:paraId="6344CF09" w14:textId="77777777" w:rsidR="00857BE3" w:rsidRDefault="00857BE3" w:rsidP="00857BE3">
      <w:pPr>
        <w:pStyle w:val="Bullet1"/>
        <w:spacing w:before="40"/>
      </w:pPr>
      <w:r w:rsidRPr="00FE002C">
        <w:t>substantially</w:t>
      </w:r>
      <w:r>
        <w:t xml:space="preserve"> alter the characteristics of NEPT service delivery</w:t>
      </w:r>
    </w:p>
    <w:p w14:paraId="4DA7D679" w14:textId="085295AD" w:rsidR="00857BE3" w:rsidRDefault="00857BE3" w:rsidP="00857BE3">
      <w:pPr>
        <w:pStyle w:val="Bullet1"/>
        <w:spacing w:before="40"/>
      </w:pPr>
      <w:r w:rsidRPr="00FE002C">
        <w:t>provide</w:t>
      </w:r>
      <w:r>
        <w:t xml:space="preserve"> new workforce options for the NEPT sector</w:t>
      </w:r>
    </w:p>
    <w:p w14:paraId="3BABC3D8" w14:textId="77777777" w:rsidR="0084775C" w:rsidRDefault="00857BE3" w:rsidP="00271BB7">
      <w:pPr>
        <w:pStyle w:val="Bullet1"/>
        <w:spacing w:before="40" w:after="240"/>
      </w:pPr>
      <w:r>
        <w:t>substantially alter scope of service for NEPT workforce</w:t>
      </w:r>
    </w:p>
    <w:p w14:paraId="1E0622AF" w14:textId="77777777" w:rsidR="00C25CC7" w:rsidRDefault="00C25CC7" w:rsidP="00C25CC7">
      <w:pPr>
        <w:pStyle w:val="Bullet1"/>
        <w:numPr>
          <w:ilvl w:val="0"/>
          <w:numId w:val="0"/>
        </w:numPr>
        <w:spacing w:before="40" w:after="240"/>
        <w:ind w:left="284" w:hanging="284"/>
      </w:pPr>
    </w:p>
    <w:p w14:paraId="3B67A010" w14:textId="77777777" w:rsidR="00C25CC7" w:rsidRDefault="00C25CC7" w:rsidP="00C25CC7">
      <w:pPr>
        <w:pStyle w:val="Bullet1"/>
        <w:numPr>
          <w:ilvl w:val="0"/>
          <w:numId w:val="0"/>
        </w:numPr>
        <w:spacing w:before="40" w:after="240"/>
        <w:ind w:left="284" w:hanging="284"/>
      </w:pPr>
    </w:p>
    <w:p w14:paraId="36A37111" w14:textId="77777777" w:rsidR="00C25CC7" w:rsidRDefault="00C25CC7" w:rsidP="00C25CC7">
      <w:pPr>
        <w:pStyle w:val="Bullet1"/>
        <w:numPr>
          <w:ilvl w:val="0"/>
          <w:numId w:val="0"/>
        </w:numPr>
        <w:spacing w:before="40" w:after="240"/>
        <w:ind w:left="284" w:hanging="284"/>
      </w:pPr>
    </w:p>
    <w:p w14:paraId="18BDEFCD" w14:textId="77777777" w:rsidR="00C25CC7" w:rsidRDefault="00C25CC7" w:rsidP="00C25CC7">
      <w:pPr>
        <w:pStyle w:val="Bullet1"/>
        <w:numPr>
          <w:ilvl w:val="0"/>
          <w:numId w:val="0"/>
        </w:numPr>
        <w:spacing w:before="40" w:after="240"/>
        <w:ind w:left="284" w:hanging="284"/>
      </w:pPr>
    </w:p>
    <w:p w14:paraId="139B5F2D" w14:textId="4DB13BF8" w:rsidR="00C25CC7" w:rsidRDefault="00C25CC7" w:rsidP="00C25CC7">
      <w:pPr>
        <w:pStyle w:val="Tablecaption"/>
      </w:pPr>
      <w:r>
        <w:lastRenderedPageBreak/>
        <w:t>Table 1: 2023 Clinical Practice Protocol change log</w:t>
      </w:r>
    </w:p>
    <w:tbl>
      <w:tblPr>
        <w:tblStyle w:val="TableGrid"/>
        <w:tblpPr w:leftFromText="180" w:rightFromText="180" w:vertAnchor="text" w:tblpY="1"/>
        <w:tblOverlap w:val="never"/>
        <w:tblW w:w="9493" w:type="dxa"/>
        <w:tblLayout w:type="fixed"/>
        <w:tblLook w:val="04A0" w:firstRow="1" w:lastRow="0" w:firstColumn="1" w:lastColumn="0" w:noHBand="0" w:noVBand="1"/>
      </w:tblPr>
      <w:tblGrid>
        <w:gridCol w:w="988"/>
        <w:gridCol w:w="2835"/>
        <w:gridCol w:w="5670"/>
      </w:tblGrid>
      <w:tr w:rsidR="009358A1" w14:paraId="613E1EA7" w14:textId="77777777" w:rsidTr="009358A1">
        <w:trPr>
          <w:trHeight w:val="416"/>
          <w:tblHeader/>
        </w:trPr>
        <w:tc>
          <w:tcPr>
            <w:tcW w:w="988" w:type="dxa"/>
          </w:tcPr>
          <w:p w14:paraId="6ED2FADA" w14:textId="6F8DEF30" w:rsidR="009358A1" w:rsidRPr="00276CBD" w:rsidRDefault="009358A1" w:rsidP="009358A1">
            <w:pPr>
              <w:pStyle w:val="Tablecolhead"/>
            </w:pPr>
            <w:r>
              <w:t xml:space="preserve">Item </w:t>
            </w:r>
          </w:p>
        </w:tc>
        <w:tc>
          <w:tcPr>
            <w:tcW w:w="2835" w:type="dxa"/>
          </w:tcPr>
          <w:p w14:paraId="7B565286" w14:textId="3923B23E" w:rsidR="009358A1" w:rsidRPr="00276CBD" w:rsidRDefault="009358A1" w:rsidP="009358A1">
            <w:pPr>
              <w:pStyle w:val="Tablecolhead"/>
            </w:pPr>
            <w:r w:rsidRPr="00276CBD">
              <w:t>Pr</w:t>
            </w:r>
            <w:r>
              <w:t xml:space="preserve">otocol </w:t>
            </w:r>
          </w:p>
        </w:tc>
        <w:tc>
          <w:tcPr>
            <w:tcW w:w="5670" w:type="dxa"/>
          </w:tcPr>
          <w:p w14:paraId="39A8D657" w14:textId="02A76179" w:rsidR="009358A1" w:rsidRPr="00276CBD" w:rsidRDefault="009358A1" w:rsidP="009358A1">
            <w:pPr>
              <w:pStyle w:val="Tablecolhead"/>
            </w:pPr>
            <w:r w:rsidRPr="00276CBD">
              <w:t>Change item</w:t>
            </w:r>
          </w:p>
        </w:tc>
      </w:tr>
      <w:tr w:rsidR="009358A1" w14:paraId="5EFB1D9D" w14:textId="77777777" w:rsidTr="00E23E2C">
        <w:trPr>
          <w:trHeight w:val="1128"/>
        </w:trPr>
        <w:tc>
          <w:tcPr>
            <w:tcW w:w="988" w:type="dxa"/>
          </w:tcPr>
          <w:p w14:paraId="0E4D8F58" w14:textId="3A9BEFF3" w:rsidR="009358A1" w:rsidRPr="00A06454" w:rsidRDefault="009358A1" w:rsidP="009358A1">
            <w:pPr>
              <w:pStyle w:val="Tabletext"/>
            </w:pPr>
            <w:r w:rsidRPr="00A06454">
              <w:t>1</w:t>
            </w:r>
          </w:p>
        </w:tc>
        <w:tc>
          <w:tcPr>
            <w:tcW w:w="2835" w:type="dxa"/>
          </w:tcPr>
          <w:p w14:paraId="272AD8CB" w14:textId="0AB87EDA" w:rsidR="009358A1" w:rsidRPr="00B700FB" w:rsidRDefault="009358A1" w:rsidP="009358A1">
            <w:pPr>
              <w:pStyle w:val="Tabletext"/>
            </w:pPr>
            <w:r>
              <w:t>Overall document</w:t>
            </w:r>
          </w:p>
        </w:tc>
        <w:tc>
          <w:tcPr>
            <w:tcW w:w="5670" w:type="dxa"/>
          </w:tcPr>
          <w:p w14:paraId="35ABA862" w14:textId="77777777" w:rsidR="009358A1" w:rsidRDefault="009358A1" w:rsidP="002018A2">
            <w:pPr>
              <w:pStyle w:val="Tabletext"/>
            </w:pPr>
            <w:r>
              <w:t>Removal of coloured boxes denoting NEPT crew member skill level</w:t>
            </w:r>
          </w:p>
          <w:p w14:paraId="31CB9B58" w14:textId="2E35EEFE" w:rsidR="002018A2" w:rsidRDefault="002018A2" w:rsidP="00E23E2C">
            <w:pPr>
              <w:pStyle w:val="Tabletext"/>
            </w:pPr>
            <w:r>
              <w:t>Updated legislative references</w:t>
            </w:r>
            <w:r w:rsidR="00396B72">
              <w:t xml:space="preserve"> (including regulations)</w:t>
            </w:r>
          </w:p>
        </w:tc>
      </w:tr>
      <w:tr w:rsidR="009358A1" w14:paraId="61A56561" w14:textId="77777777" w:rsidTr="00C25CC7">
        <w:trPr>
          <w:trHeight w:val="553"/>
        </w:trPr>
        <w:tc>
          <w:tcPr>
            <w:tcW w:w="988" w:type="dxa"/>
          </w:tcPr>
          <w:p w14:paraId="7A817BA4" w14:textId="3385AACC" w:rsidR="009358A1" w:rsidRPr="00A06454" w:rsidRDefault="00E23E2C" w:rsidP="009358A1">
            <w:pPr>
              <w:pStyle w:val="Tabletext"/>
            </w:pPr>
            <w:r>
              <w:t>2</w:t>
            </w:r>
          </w:p>
        </w:tc>
        <w:tc>
          <w:tcPr>
            <w:tcW w:w="2835" w:type="dxa"/>
          </w:tcPr>
          <w:p w14:paraId="62ABF2DD" w14:textId="5080DBEA" w:rsidR="009358A1" w:rsidRPr="00B700FB" w:rsidRDefault="009358A1" w:rsidP="009358A1">
            <w:pPr>
              <w:pStyle w:val="Tabletext"/>
            </w:pPr>
            <w:r w:rsidRPr="00B700FB">
              <w:t>Scope of practice</w:t>
            </w:r>
          </w:p>
        </w:tc>
        <w:tc>
          <w:tcPr>
            <w:tcW w:w="5670" w:type="dxa"/>
          </w:tcPr>
          <w:p w14:paraId="7990F886" w14:textId="65009A92" w:rsidR="009358A1" w:rsidRDefault="009358A1" w:rsidP="002018A2">
            <w:pPr>
              <w:pStyle w:val="Tabletext"/>
            </w:pPr>
            <w:r>
              <w:t>Scope of practice table updated</w:t>
            </w:r>
          </w:p>
        </w:tc>
      </w:tr>
      <w:tr w:rsidR="009358A1" w14:paraId="721F0C19" w14:textId="77777777" w:rsidTr="00C25CC7">
        <w:trPr>
          <w:trHeight w:val="633"/>
        </w:trPr>
        <w:tc>
          <w:tcPr>
            <w:tcW w:w="988" w:type="dxa"/>
          </w:tcPr>
          <w:p w14:paraId="1EBA4765" w14:textId="221C5F6E" w:rsidR="009358A1" w:rsidRPr="00A06454" w:rsidRDefault="00E23E2C" w:rsidP="009358A1">
            <w:pPr>
              <w:pStyle w:val="Tabletext"/>
            </w:pPr>
            <w:r>
              <w:t>3</w:t>
            </w:r>
          </w:p>
        </w:tc>
        <w:tc>
          <w:tcPr>
            <w:tcW w:w="2835" w:type="dxa"/>
          </w:tcPr>
          <w:p w14:paraId="6B51AD3A" w14:textId="05701935" w:rsidR="009358A1" w:rsidRPr="00CA112F" w:rsidRDefault="009358A1" w:rsidP="009358A1">
            <w:pPr>
              <w:pStyle w:val="Tabletext"/>
            </w:pPr>
            <w:r>
              <w:t xml:space="preserve">Vital sign survey </w:t>
            </w:r>
          </w:p>
        </w:tc>
        <w:tc>
          <w:tcPr>
            <w:tcW w:w="5670" w:type="dxa"/>
          </w:tcPr>
          <w:p w14:paraId="376F8B79" w14:textId="2FAB8D53" w:rsidR="009358A1" w:rsidRDefault="009358A1" w:rsidP="009358A1">
            <w:pPr>
              <w:pStyle w:val="Tabletext"/>
            </w:pPr>
            <w:r>
              <w:t xml:space="preserve">PSA and RSA updated </w:t>
            </w:r>
          </w:p>
        </w:tc>
      </w:tr>
      <w:tr w:rsidR="009358A1" w14:paraId="246A2102" w14:textId="77777777" w:rsidTr="002018A2">
        <w:trPr>
          <w:trHeight w:val="680"/>
        </w:trPr>
        <w:tc>
          <w:tcPr>
            <w:tcW w:w="988" w:type="dxa"/>
          </w:tcPr>
          <w:p w14:paraId="2668F0E2" w14:textId="6A2E89E7" w:rsidR="009358A1" w:rsidRPr="00A06454" w:rsidRDefault="00E23E2C" w:rsidP="009358A1">
            <w:pPr>
              <w:pStyle w:val="Tabletext"/>
            </w:pPr>
            <w:r>
              <w:t>4</w:t>
            </w:r>
          </w:p>
        </w:tc>
        <w:tc>
          <w:tcPr>
            <w:tcW w:w="2835" w:type="dxa"/>
          </w:tcPr>
          <w:p w14:paraId="58F66850" w14:textId="4161D81B" w:rsidR="009358A1" w:rsidRPr="00CA112F" w:rsidRDefault="009358A1" w:rsidP="009358A1">
            <w:pPr>
              <w:pStyle w:val="Tabletext"/>
            </w:pPr>
            <w:r w:rsidRPr="00CA112F">
              <w:t>Not</w:t>
            </w:r>
            <w:r>
              <w:t xml:space="preserve"> </w:t>
            </w:r>
            <w:r w:rsidRPr="00CA112F">
              <w:t>suitable for NEPT table</w:t>
            </w:r>
          </w:p>
        </w:tc>
        <w:tc>
          <w:tcPr>
            <w:tcW w:w="5670" w:type="dxa"/>
          </w:tcPr>
          <w:p w14:paraId="000CB0E3" w14:textId="47C8F0D1" w:rsidR="009358A1" w:rsidRDefault="009358A1" w:rsidP="009358A1">
            <w:pPr>
              <w:pStyle w:val="Tabletext"/>
            </w:pPr>
            <w:r>
              <w:t xml:space="preserve">Information consolidated into a single table for reference </w:t>
            </w:r>
          </w:p>
        </w:tc>
      </w:tr>
      <w:tr w:rsidR="009358A1" w14:paraId="5123E06E" w14:textId="77777777" w:rsidTr="00396B72">
        <w:trPr>
          <w:trHeight w:val="899"/>
        </w:trPr>
        <w:tc>
          <w:tcPr>
            <w:tcW w:w="988" w:type="dxa"/>
          </w:tcPr>
          <w:p w14:paraId="1A97895B" w14:textId="7A3ED36F" w:rsidR="009358A1" w:rsidRPr="00A06454" w:rsidRDefault="00E23E2C" w:rsidP="009358A1">
            <w:pPr>
              <w:pStyle w:val="Tabletext"/>
            </w:pPr>
            <w:r>
              <w:t>5</w:t>
            </w:r>
          </w:p>
        </w:tc>
        <w:tc>
          <w:tcPr>
            <w:tcW w:w="2835" w:type="dxa"/>
          </w:tcPr>
          <w:p w14:paraId="16810C6F" w14:textId="573C66C3" w:rsidR="009358A1" w:rsidRPr="00A06454" w:rsidRDefault="009358A1" w:rsidP="009358A1">
            <w:pPr>
              <w:pStyle w:val="Tabletext"/>
            </w:pPr>
            <w:r w:rsidRPr="00A06454">
              <w:t xml:space="preserve">Sedation Assessment Tool (SAT score) </w:t>
            </w:r>
          </w:p>
        </w:tc>
        <w:tc>
          <w:tcPr>
            <w:tcW w:w="5670" w:type="dxa"/>
          </w:tcPr>
          <w:p w14:paraId="35AA8A20" w14:textId="77777777" w:rsidR="009358A1" w:rsidRDefault="009358A1" w:rsidP="009358A1">
            <w:pPr>
              <w:pStyle w:val="Tabletext"/>
            </w:pPr>
            <w:r>
              <w:t xml:space="preserve">Inclusion of SAT score </w:t>
            </w:r>
          </w:p>
          <w:p w14:paraId="6FC6C341" w14:textId="1B64AA84" w:rsidR="009358A1" w:rsidRDefault="009358A1" w:rsidP="009358A1">
            <w:pPr>
              <w:pStyle w:val="Tabletext"/>
            </w:pPr>
            <w:r>
              <w:t xml:space="preserve">Inclusion of NEPT decision markers for transport </w:t>
            </w:r>
          </w:p>
        </w:tc>
      </w:tr>
      <w:tr w:rsidR="009358A1" w14:paraId="4EB5B09F" w14:textId="77777777" w:rsidTr="00396B72">
        <w:trPr>
          <w:trHeight w:val="1124"/>
        </w:trPr>
        <w:tc>
          <w:tcPr>
            <w:tcW w:w="988" w:type="dxa"/>
          </w:tcPr>
          <w:p w14:paraId="57C96395" w14:textId="25DA887B" w:rsidR="009358A1" w:rsidRPr="00A06454" w:rsidRDefault="00E23E2C" w:rsidP="009358A1">
            <w:pPr>
              <w:pStyle w:val="Tabletext"/>
            </w:pPr>
            <w:r>
              <w:t>6</w:t>
            </w:r>
          </w:p>
        </w:tc>
        <w:tc>
          <w:tcPr>
            <w:tcW w:w="2835" w:type="dxa"/>
          </w:tcPr>
          <w:p w14:paraId="6865BBB8" w14:textId="72E7BECE" w:rsidR="009358A1" w:rsidRPr="00A06454" w:rsidRDefault="009358A1" w:rsidP="009358A1">
            <w:pPr>
              <w:pStyle w:val="Tabletext"/>
            </w:pPr>
            <w:r>
              <w:t>Paediatric assessment information</w:t>
            </w:r>
          </w:p>
        </w:tc>
        <w:tc>
          <w:tcPr>
            <w:tcW w:w="5670" w:type="dxa"/>
          </w:tcPr>
          <w:p w14:paraId="10894771" w14:textId="5689A730" w:rsidR="009358A1" w:rsidRDefault="009358A1" w:rsidP="009358A1">
            <w:pPr>
              <w:pStyle w:val="Tabletext"/>
            </w:pPr>
            <w:r>
              <w:t>Inclusion of acceptable paediatric VSS and information about paediatric distress</w:t>
            </w:r>
          </w:p>
          <w:p w14:paraId="21DF60EE" w14:textId="06AAD235" w:rsidR="009358A1" w:rsidRDefault="009358A1" w:rsidP="009358A1">
            <w:pPr>
              <w:pStyle w:val="Tabletext"/>
            </w:pPr>
            <w:r>
              <w:t>Update of paediatric definitions and weight guide</w:t>
            </w:r>
          </w:p>
        </w:tc>
      </w:tr>
      <w:tr w:rsidR="009358A1" w14:paraId="44F870AC" w14:textId="77777777" w:rsidTr="00396B72">
        <w:trPr>
          <w:trHeight w:val="687"/>
        </w:trPr>
        <w:tc>
          <w:tcPr>
            <w:tcW w:w="988" w:type="dxa"/>
          </w:tcPr>
          <w:p w14:paraId="30902F4E" w14:textId="1DEC1BBB" w:rsidR="009358A1" w:rsidRDefault="00E23E2C" w:rsidP="009358A1">
            <w:pPr>
              <w:pStyle w:val="Tabletext"/>
            </w:pPr>
            <w:r>
              <w:t>7</w:t>
            </w:r>
          </w:p>
        </w:tc>
        <w:tc>
          <w:tcPr>
            <w:tcW w:w="2835" w:type="dxa"/>
          </w:tcPr>
          <w:p w14:paraId="26737E28" w14:textId="4F12C6A8" w:rsidR="009358A1" w:rsidRDefault="009358A1" w:rsidP="009358A1">
            <w:pPr>
              <w:pStyle w:val="Tabletext"/>
            </w:pPr>
            <w:r>
              <w:t>Time Critical guidelines</w:t>
            </w:r>
          </w:p>
        </w:tc>
        <w:tc>
          <w:tcPr>
            <w:tcW w:w="5670" w:type="dxa"/>
          </w:tcPr>
          <w:p w14:paraId="37BB8E90" w14:textId="4ADBEDEA" w:rsidR="009358A1" w:rsidRDefault="009358A1" w:rsidP="009358A1">
            <w:pPr>
              <w:pStyle w:val="Tabletext"/>
            </w:pPr>
            <w:r>
              <w:t>Updated</w:t>
            </w:r>
          </w:p>
        </w:tc>
      </w:tr>
      <w:tr w:rsidR="009358A1" w14:paraId="5D8C062F" w14:textId="77777777" w:rsidTr="009358A1">
        <w:trPr>
          <w:trHeight w:val="1384"/>
        </w:trPr>
        <w:tc>
          <w:tcPr>
            <w:tcW w:w="988" w:type="dxa"/>
          </w:tcPr>
          <w:p w14:paraId="60333163" w14:textId="77DED39D" w:rsidR="009358A1" w:rsidRDefault="00E23E2C" w:rsidP="009358A1">
            <w:pPr>
              <w:pStyle w:val="Tabletext"/>
            </w:pPr>
            <w:r>
              <w:t>8</w:t>
            </w:r>
          </w:p>
        </w:tc>
        <w:tc>
          <w:tcPr>
            <w:tcW w:w="2835" w:type="dxa"/>
          </w:tcPr>
          <w:p w14:paraId="26FA936F" w14:textId="7F67C037" w:rsidR="009358A1" w:rsidRPr="00B91497" w:rsidRDefault="009358A1" w:rsidP="009358A1">
            <w:pPr>
              <w:pStyle w:val="Tabletext"/>
            </w:pPr>
            <w:r w:rsidRPr="00B91497">
              <w:t>Clinical Approach to Assessment (unplanned medical presentation)</w:t>
            </w:r>
          </w:p>
        </w:tc>
        <w:tc>
          <w:tcPr>
            <w:tcW w:w="5670" w:type="dxa"/>
          </w:tcPr>
          <w:p w14:paraId="452EEB03" w14:textId="68F1715F" w:rsidR="009358A1" w:rsidRDefault="009358A1" w:rsidP="009358A1">
            <w:pPr>
              <w:pStyle w:val="Tabletext"/>
            </w:pPr>
            <w:r>
              <w:t xml:space="preserve">New protocol </w:t>
            </w:r>
          </w:p>
          <w:p w14:paraId="75F6D573" w14:textId="164AFA18" w:rsidR="009358A1" w:rsidRDefault="009358A1" w:rsidP="009358A1">
            <w:pPr>
              <w:pStyle w:val="Tabletext"/>
            </w:pPr>
            <w:r>
              <w:t>The protocol defines the approach to an unplanned medical presentation as opposed to a</w:t>
            </w:r>
            <w:r w:rsidR="00857BE3">
              <w:t>n</w:t>
            </w:r>
            <w:r>
              <w:t xml:space="preserve"> unplanned trauma or inter-Facility Transport (IFT) </w:t>
            </w:r>
          </w:p>
        </w:tc>
      </w:tr>
      <w:tr w:rsidR="009358A1" w14:paraId="6F439262" w14:textId="77777777" w:rsidTr="009358A1">
        <w:trPr>
          <w:trHeight w:val="1384"/>
        </w:trPr>
        <w:tc>
          <w:tcPr>
            <w:tcW w:w="988" w:type="dxa"/>
          </w:tcPr>
          <w:p w14:paraId="7341E0F4" w14:textId="4AE9F86F" w:rsidR="009358A1" w:rsidRDefault="00E23E2C" w:rsidP="009358A1">
            <w:pPr>
              <w:pStyle w:val="Tabletext"/>
            </w:pPr>
            <w:r>
              <w:t>9</w:t>
            </w:r>
          </w:p>
        </w:tc>
        <w:tc>
          <w:tcPr>
            <w:tcW w:w="2835" w:type="dxa"/>
          </w:tcPr>
          <w:p w14:paraId="73BCCC89" w14:textId="77777777" w:rsidR="009358A1" w:rsidRPr="00C51604" w:rsidRDefault="009358A1" w:rsidP="009358A1">
            <w:pPr>
              <w:pStyle w:val="Tabletext"/>
            </w:pPr>
            <w:r w:rsidRPr="00C51604">
              <w:t>CPP002 - Clinical Approach to Assessment (unplanned major trauma presentation)</w:t>
            </w:r>
          </w:p>
          <w:p w14:paraId="415FD3FF" w14:textId="77777777" w:rsidR="009358A1" w:rsidRPr="00B91497" w:rsidRDefault="009358A1" w:rsidP="009358A1">
            <w:pPr>
              <w:pStyle w:val="Tabletext"/>
            </w:pPr>
          </w:p>
        </w:tc>
        <w:tc>
          <w:tcPr>
            <w:tcW w:w="5670" w:type="dxa"/>
          </w:tcPr>
          <w:p w14:paraId="18841188" w14:textId="77777777" w:rsidR="009358A1" w:rsidRDefault="009358A1" w:rsidP="009358A1">
            <w:pPr>
              <w:pStyle w:val="Tabletext"/>
            </w:pPr>
            <w:r>
              <w:t xml:space="preserve">New protocol </w:t>
            </w:r>
          </w:p>
          <w:p w14:paraId="1454B215" w14:textId="07EBA18D" w:rsidR="009358A1" w:rsidRDefault="009358A1" w:rsidP="009358A1">
            <w:pPr>
              <w:pStyle w:val="Tabletext"/>
            </w:pPr>
            <w:r>
              <w:t>The protocol defines the approach to an unplanned trauma presentation as opposed to an unplanned medical or IFT</w:t>
            </w:r>
          </w:p>
        </w:tc>
      </w:tr>
      <w:tr w:rsidR="009358A1" w14:paraId="60B83A0E" w14:textId="77777777" w:rsidTr="00C25CC7">
        <w:trPr>
          <w:trHeight w:val="1211"/>
        </w:trPr>
        <w:tc>
          <w:tcPr>
            <w:tcW w:w="988" w:type="dxa"/>
          </w:tcPr>
          <w:p w14:paraId="1AF6CB3B" w14:textId="6CB1CD45" w:rsidR="009358A1" w:rsidRDefault="009358A1" w:rsidP="009358A1">
            <w:pPr>
              <w:pStyle w:val="Tabletext"/>
            </w:pPr>
            <w:r>
              <w:t>1</w:t>
            </w:r>
            <w:r w:rsidR="00E23E2C">
              <w:t>0</w:t>
            </w:r>
          </w:p>
        </w:tc>
        <w:tc>
          <w:tcPr>
            <w:tcW w:w="2835" w:type="dxa"/>
          </w:tcPr>
          <w:p w14:paraId="08DF65C9" w14:textId="67B06D24" w:rsidR="009358A1" w:rsidRPr="00C51604" w:rsidRDefault="009358A1" w:rsidP="009358A1">
            <w:pPr>
              <w:pStyle w:val="Tabletext"/>
            </w:pPr>
            <w:r w:rsidRPr="00F45899">
              <w:t>Clinical Approach to Interfacility transport</w:t>
            </w:r>
          </w:p>
        </w:tc>
        <w:tc>
          <w:tcPr>
            <w:tcW w:w="5670" w:type="dxa"/>
          </w:tcPr>
          <w:p w14:paraId="629E4085" w14:textId="77777777" w:rsidR="009358A1" w:rsidRDefault="009358A1" w:rsidP="009358A1">
            <w:pPr>
              <w:pStyle w:val="Tabletext"/>
            </w:pPr>
            <w:r>
              <w:t xml:space="preserve">New protocol </w:t>
            </w:r>
          </w:p>
          <w:p w14:paraId="2A3F03D6" w14:textId="63D0D634" w:rsidR="009358A1" w:rsidRDefault="009358A1" w:rsidP="009358A1">
            <w:pPr>
              <w:pStyle w:val="Tabletext"/>
            </w:pPr>
            <w:r>
              <w:t>The protocol defines the approach to an IFT</w:t>
            </w:r>
          </w:p>
          <w:p w14:paraId="7D509134" w14:textId="5C27AE28" w:rsidR="009358A1" w:rsidRDefault="009358A1" w:rsidP="009358A1">
            <w:pPr>
              <w:pStyle w:val="Tabletext"/>
            </w:pPr>
            <w:r>
              <w:t xml:space="preserve">Checklist for IFT </w:t>
            </w:r>
          </w:p>
        </w:tc>
      </w:tr>
      <w:tr w:rsidR="009358A1" w14:paraId="5E35F686" w14:textId="77777777" w:rsidTr="009358A1">
        <w:trPr>
          <w:trHeight w:val="1384"/>
        </w:trPr>
        <w:tc>
          <w:tcPr>
            <w:tcW w:w="988" w:type="dxa"/>
          </w:tcPr>
          <w:p w14:paraId="300B17CB" w14:textId="767A8F50" w:rsidR="009358A1" w:rsidRDefault="009358A1" w:rsidP="009358A1">
            <w:pPr>
              <w:pStyle w:val="Tabletext"/>
            </w:pPr>
            <w:r>
              <w:t>1</w:t>
            </w:r>
            <w:r w:rsidR="00E23E2C">
              <w:t>1</w:t>
            </w:r>
          </w:p>
        </w:tc>
        <w:tc>
          <w:tcPr>
            <w:tcW w:w="2835" w:type="dxa"/>
          </w:tcPr>
          <w:p w14:paraId="349C84A3" w14:textId="05BB335F" w:rsidR="009358A1" w:rsidRPr="000A1D13" w:rsidRDefault="009358A1" w:rsidP="009358A1">
            <w:pPr>
              <w:pStyle w:val="Tabletext"/>
            </w:pPr>
            <w:r w:rsidRPr="000A1D13">
              <w:t>Cardiac Arrest (Adult)</w:t>
            </w:r>
          </w:p>
        </w:tc>
        <w:tc>
          <w:tcPr>
            <w:tcW w:w="5670" w:type="dxa"/>
          </w:tcPr>
          <w:p w14:paraId="4EDFE1F4" w14:textId="5BDEB30B" w:rsidR="009358A1" w:rsidRDefault="009358A1" w:rsidP="009358A1">
            <w:pPr>
              <w:pStyle w:val="Tabletext"/>
            </w:pPr>
            <w:r>
              <w:t>Additional guidance information provided regarding high quality CPR, defibrillation pad placement and reference to additional protocols (traumatic cardiac arrest and withholding/ceasing resuscitation).</w:t>
            </w:r>
          </w:p>
          <w:p w14:paraId="0F1D587B" w14:textId="77777777" w:rsidR="009358A1" w:rsidRDefault="009358A1" w:rsidP="009358A1">
            <w:pPr>
              <w:pStyle w:val="Tabletext"/>
            </w:pPr>
          </w:p>
          <w:p w14:paraId="73993C66" w14:textId="5791ABE9" w:rsidR="009358A1" w:rsidRDefault="009358A1" w:rsidP="009358A1">
            <w:pPr>
              <w:pStyle w:val="Tabletext"/>
            </w:pPr>
            <w:r>
              <w:t>Minor update to flow chart</w:t>
            </w:r>
          </w:p>
        </w:tc>
      </w:tr>
      <w:tr w:rsidR="009358A1" w14:paraId="23F1273B" w14:textId="77777777" w:rsidTr="009358A1">
        <w:trPr>
          <w:trHeight w:val="729"/>
        </w:trPr>
        <w:tc>
          <w:tcPr>
            <w:tcW w:w="988" w:type="dxa"/>
          </w:tcPr>
          <w:p w14:paraId="6FFCBF4B" w14:textId="5ABCFB80" w:rsidR="009358A1" w:rsidRDefault="009358A1" w:rsidP="009358A1">
            <w:pPr>
              <w:pStyle w:val="Tabletext"/>
            </w:pPr>
            <w:r>
              <w:t>1</w:t>
            </w:r>
            <w:r w:rsidR="00E23E2C">
              <w:t>2</w:t>
            </w:r>
          </w:p>
        </w:tc>
        <w:tc>
          <w:tcPr>
            <w:tcW w:w="2835" w:type="dxa"/>
          </w:tcPr>
          <w:p w14:paraId="59662428" w14:textId="77777777" w:rsidR="009358A1" w:rsidRPr="003A295C" w:rsidRDefault="009358A1" w:rsidP="009358A1">
            <w:pPr>
              <w:pStyle w:val="Tabletext"/>
            </w:pPr>
            <w:r w:rsidRPr="003A295C">
              <w:t>Cardiac Arrest (Paediatric)</w:t>
            </w:r>
          </w:p>
          <w:p w14:paraId="4E43918A" w14:textId="77777777" w:rsidR="009358A1" w:rsidRPr="000A1D13" w:rsidRDefault="009358A1" w:rsidP="009358A1">
            <w:pPr>
              <w:pStyle w:val="Tabletext"/>
            </w:pPr>
          </w:p>
        </w:tc>
        <w:tc>
          <w:tcPr>
            <w:tcW w:w="5670" w:type="dxa"/>
          </w:tcPr>
          <w:p w14:paraId="03644F33" w14:textId="06BDDBA2" w:rsidR="009358A1" w:rsidRDefault="009358A1" w:rsidP="009358A1">
            <w:pPr>
              <w:pStyle w:val="Tabletext"/>
            </w:pPr>
            <w:r>
              <w:t>Additional guidance information provided regarding high quality CPR and defibrillation pad placement</w:t>
            </w:r>
          </w:p>
          <w:p w14:paraId="11332730" w14:textId="416FACB4" w:rsidR="009358A1" w:rsidRDefault="009358A1" w:rsidP="009358A1">
            <w:pPr>
              <w:pStyle w:val="Tabletext"/>
            </w:pPr>
            <w:r>
              <w:t>Minor update to flow chart</w:t>
            </w:r>
          </w:p>
        </w:tc>
      </w:tr>
      <w:tr w:rsidR="009358A1" w14:paraId="2F76D20C" w14:textId="77777777" w:rsidTr="00EE7818">
        <w:trPr>
          <w:trHeight w:val="1096"/>
        </w:trPr>
        <w:tc>
          <w:tcPr>
            <w:tcW w:w="988" w:type="dxa"/>
          </w:tcPr>
          <w:p w14:paraId="0C7A8885" w14:textId="439388A0" w:rsidR="009358A1" w:rsidRDefault="009358A1" w:rsidP="009358A1">
            <w:pPr>
              <w:pStyle w:val="Tabletext"/>
            </w:pPr>
            <w:r>
              <w:lastRenderedPageBreak/>
              <w:t>1</w:t>
            </w:r>
            <w:r w:rsidR="00E23E2C">
              <w:t>3</w:t>
            </w:r>
          </w:p>
        </w:tc>
        <w:tc>
          <w:tcPr>
            <w:tcW w:w="2835" w:type="dxa"/>
          </w:tcPr>
          <w:p w14:paraId="53D40E96" w14:textId="15397AF2" w:rsidR="009358A1" w:rsidRPr="00B93196" w:rsidRDefault="009358A1" w:rsidP="009358A1">
            <w:pPr>
              <w:pStyle w:val="Tabletext"/>
            </w:pPr>
            <w:r w:rsidRPr="00B93196">
              <w:t>Clinical Escalation</w:t>
            </w:r>
          </w:p>
        </w:tc>
        <w:tc>
          <w:tcPr>
            <w:tcW w:w="5670" w:type="dxa"/>
          </w:tcPr>
          <w:p w14:paraId="19C61B11" w14:textId="3C5B5DB3" w:rsidR="009358A1" w:rsidRDefault="009358A1" w:rsidP="009358A1">
            <w:pPr>
              <w:pStyle w:val="Tabletext"/>
            </w:pPr>
            <w:r>
              <w:t>New Protocol</w:t>
            </w:r>
          </w:p>
          <w:p w14:paraId="09407A25" w14:textId="03344CBF" w:rsidR="009358A1" w:rsidRDefault="009358A1" w:rsidP="009358A1">
            <w:pPr>
              <w:pStyle w:val="Tabletext"/>
            </w:pPr>
            <w:r>
              <w:t>The protocol describes the different clinical escalation pathways available to NEPT crews</w:t>
            </w:r>
          </w:p>
        </w:tc>
      </w:tr>
      <w:tr w:rsidR="009358A1" w14:paraId="01CF1787" w14:textId="77777777" w:rsidTr="00EE7818">
        <w:trPr>
          <w:trHeight w:val="558"/>
        </w:trPr>
        <w:tc>
          <w:tcPr>
            <w:tcW w:w="988" w:type="dxa"/>
          </w:tcPr>
          <w:p w14:paraId="7358B370" w14:textId="6186DFE0" w:rsidR="009358A1" w:rsidRDefault="009358A1" w:rsidP="009358A1">
            <w:pPr>
              <w:pStyle w:val="Tabletext"/>
            </w:pPr>
            <w:r>
              <w:t>1</w:t>
            </w:r>
            <w:r w:rsidR="00E23E2C">
              <w:t>4</w:t>
            </w:r>
          </w:p>
        </w:tc>
        <w:tc>
          <w:tcPr>
            <w:tcW w:w="2835" w:type="dxa"/>
          </w:tcPr>
          <w:p w14:paraId="2CE8CAB9" w14:textId="47EDF9A9" w:rsidR="009358A1" w:rsidRPr="007F35F5" w:rsidRDefault="009358A1" w:rsidP="009358A1">
            <w:pPr>
              <w:pStyle w:val="Tabletext"/>
            </w:pPr>
            <w:r w:rsidRPr="007F35F5">
              <w:t xml:space="preserve">Oxygen therapy   </w:t>
            </w:r>
          </w:p>
        </w:tc>
        <w:tc>
          <w:tcPr>
            <w:tcW w:w="5670" w:type="dxa"/>
          </w:tcPr>
          <w:p w14:paraId="79B5D892" w14:textId="4038208C" w:rsidR="009358A1" w:rsidRDefault="009358A1" w:rsidP="009358A1">
            <w:pPr>
              <w:pStyle w:val="Tabletext"/>
            </w:pPr>
            <w:r>
              <w:t xml:space="preserve">Minor updates </w:t>
            </w:r>
          </w:p>
        </w:tc>
      </w:tr>
      <w:tr w:rsidR="009358A1" w14:paraId="7AFA5FFB" w14:textId="77777777" w:rsidTr="00C25CC7">
        <w:trPr>
          <w:trHeight w:val="707"/>
        </w:trPr>
        <w:tc>
          <w:tcPr>
            <w:tcW w:w="988" w:type="dxa"/>
          </w:tcPr>
          <w:p w14:paraId="2FF43500" w14:textId="66AC5685" w:rsidR="009358A1" w:rsidRDefault="009358A1" w:rsidP="009358A1">
            <w:pPr>
              <w:pStyle w:val="Tabletext"/>
            </w:pPr>
            <w:r>
              <w:t>1</w:t>
            </w:r>
            <w:r w:rsidR="00E23E2C">
              <w:t>5</w:t>
            </w:r>
          </w:p>
        </w:tc>
        <w:tc>
          <w:tcPr>
            <w:tcW w:w="2835" w:type="dxa"/>
          </w:tcPr>
          <w:p w14:paraId="46A21DD6" w14:textId="45B0F1CE" w:rsidR="009358A1" w:rsidRPr="007F35F5" w:rsidRDefault="009358A1" w:rsidP="009358A1">
            <w:pPr>
              <w:pStyle w:val="Tabletext"/>
            </w:pPr>
            <w:r w:rsidRPr="007F35F5">
              <w:t>Narrow Complex Tachycardia (NCT)</w:t>
            </w:r>
          </w:p>
        </w:tc>
        <w:tc>
          <w:tcPr>
            <w:tcW w:w="5670" w:type="dxa"/>
          </w:tcPr>
          <w:p w14:paraId="545F769A" w14:textId="1227BFE7" w:rsidR="009358A1" w:rsidRDefault="009358A1" w:rsidP="009358A1">
            <w:pPr>
              <w:pStyle w:val="Tabletext"/>
            </w:pPr>
            <w:r>
              <w:t>New protocol</w:t>
            </w:r>
          </w:p>
        </w:tc>
      </w:tr>
      <w:tr w:rsidR="009358A1" w14:paraId="26257207" w14:textId="77777777" w:rsidTr="00EE7818">
        <w:trPr>
          <w:trHeight w:val="847"/>
        </w:trPr>
        <w:tc>
          <w:tcPr>
            <w:tcW w:w="988" w:type="dxa"/>
          </w:tcPr>
          <w:p w14:paraId="20E7364E" w14:textId="58E30266" w:rsidR="009358A1" w:rsidRDefault="009358A1" w:rsidP="009358A1">
            <w:pPr>
              <w:pStyle w:val="Tabletext"/>
            </w:pPr>
            <w:r>
              <w:t>1</w:t>
            </w:r>
            <w:r w:rsidR="00E23E2C">
              <w:t>6</w:t>
            </w:r>
          </w:p>
        </w:tc>
        <w:tc>
          <w:tcPr>
            <w:tcW w:w="2835" w:type="dxa"/>
          </w:tcPr>
          <w:p w14:paraId="611B0E19" w14:textId="743B3570" w:rsidR="009358A1" w:rsidRPr="00335649" w:rsidRDefault="009358A1" w:rsidP="009358A1">
            <w:pPr>
              <w:pStyle w:val="Tabletext"/>
            </w:pPr>
            <w:r w:rsidRPr="00335649">
              <w:t>Wide Complex Tachycardia (WCT)</w:t>
            </w:r>
          </w:p>
        </w:tc>
        <w:tc>
          <w:tcPr>
            <w:tcW w:w="5670" w:type="dxa"/>
          </w:tcPr>
          <w:p w14:paraId="38A92A91" w14:textId="638F58CD" w:rsidR="009358A1" w:rsidRDefault="009358A1" w:rsidP="009358A1">
            <w:pPr>
              <w:pStyle w:val="Tabletext"/>
            </w:pPr>
            <w:r>
              <w:t>New protocol</w:t>
            </w:r>
          </w:p>
          <w:p w14:paraId="65F8C506" w14:textId="39C621EB" w:rsidR="009358A1" w:rsidRDefault="009358A1" w:rsidP="009358A1">
            <w:pPr>
              <w:pStyle w:val="Tabletext"/>
            </w:pPr>
            <w:r>
              <w:t xml:space="preserve">Includes Amiodarone infusion for high acuity services </w:t>
            </w:r>
          </w:p>
        </w:tc>
      </w:tr>
      <w:tr w:rsidR="009358A1" w14:paraId="52AA2548" w14:textId="77777777" w:rsidTr="009358A1">
        <w:trPr>
          <w:trHeight w:val="1384"/>
        </w:trPr>
        <w:tc>
          <w:tcPr>
            <w:tcW w:w="988" w:type="dxa"/>
          </w:tcPr>
          <w:p w14:paraId="6BBCCA3A" w14:textId="018ED5DA" w:rsidR="009358A1" w:rsidRDefault="009358A1" w:rsidP="009358A1">
            <w:pPr>
              <w:pStyle w:val="Tabletext"/>
            </w:pPr>
            <w:r>
              <w:t>1</w:t>
            </w:r>
            <w:r w:rsidR="00E23E2C">
              <w:t>7</w:t>
            </w:r>
          </w:p>
        </w:tc>
        <w:tc>
          <w:tcPr>
            <w:tcW w:w="2835" w:type="dxa"/>
          </w:tcPr>
          <w:p w14:paraId="44A6FB85" w14:textId="6E0BF25A" w:rsidR="009358A1" w:rsidRPr="00202FF9" w:rsidRDefault="009358A1" w:rsidP="009358A1">
            <w:pPr>
              <w:pStyle w:val="Tabletext"/>
            </w:pPr>
            <w:r w:rsidRPr="00202FF9">
              <w:t>Bradycardia</w:t>
            </w:r>
          </w:p>
        </w:tc>
        <w:tc>
          <w:tcPr>
            <w:tcW w:w="5670" w:type="dxa"/>
          </w:tcPr>
          <w:p w14:paraId="300311C8" w14:textId="77777777" w:rsidR="009358A1" w:rsidRDefault="009358A1" w:rsidP="009358A1">
            <w:pPr>
              <w:pStyle w:val="Tabletext"/>
            </w:pPr>
            <w:r>
              <w:t>New protocol</w:t>
            </w:r>
          </w:p>
          <w:p w14:paraId="5B47BDF2" w14:textId="1322178D" w:rsidR="009358A1" w:rsidRDefault="009358A1" w:rsidP="009358A1">
            <w:pPr>
              <w:pStyle w:val="Tabletext"/>
            </w:pPr>
            <w:r>
              <w:t xml:space="preserve">New Medication: Atropine (high acuity services) </w:t>
            </w:r>
          </w:p>
          <w:p w14:paraId="550BFF3F" w14:textId="3C5B5169" w:rsidR="009358A1" w:rsidRPr="00EE7818" w:rsidRDefault="009358A1" w:rsidP="009358A1">
            <w:pPr>
              <w:pStyle w:val="Tabletext"/>
              <w:rPr>
                <w:i/>
                <w:iCs/>
              </w:rPr>
            </w:pPr>
            <w:r w:rsidRPr="00EE7818">
              <w:rPr>
                <w:i/>
                <w:iCs/>
              </w:rPr>
              <w:t>NB: Atropine inclusion is pending secretarial approval</w:t>
            </w:r>
          </w:p>
        </w:tc>
      </w:tr>
      <w:tr w:rsidR="009358A1" w14:paraId="0176126A" w14:textId="77777777" w:rsidTr="00C25CC7">
        <w:trPr>
          <w:trHeight w:val="707"/>
        </w:trPr>
        <w:tc>
          <w:tcPr>
            <w:tcW w:w="988" w:type="dxa"/>
          </w:tcPr>
          <w:p w14:paraId="5BDF3A49" w14:textId="4CC58920" w:rsidR="009358A1" w:rsidRDefault="009358A1" w:rsidP="009358A1">
            <w:pPr>
              <w:pStyle w:val="Tabletext"/>
            </w:pPr>
            <w:r>
              <w:t>1</w:t>
            </w:r>
            <w:r w:rsidR="00E23E2C">
              <w:t>8</w:t>
            </w:r>
          </w:p>
        </w:tc>
        <w:tc>
          <w:tcPr>
            <w:tcW w:w="2835" w:type="dxa"/>
          </w:tcPr>
          <w:p w14:paraId="1DCBF40A" w14:textId="286CDD68" w:rsidR="009358A1" w:rsidRPr="000A4469" w:rsidRDefault="009358A1" w:rsidP="009358A1">
            <w:pPr>
              <w:pStyle w:val="Tabletext"/>
            </w:pPr>
            <w:r w:rsidRPr="000A4469">
              <w:t>Sepsis recognition and escalation</w:t>
            </w:r>
          </w:p>
        </w:tc>
        <w:tc>
          <w:tcPr>
            <w:tcW w:w="5670" w:type="dxa"/>
          </w:tcPr>
          <w:p w14:paraId="345DDE3A" w14:textId="0094B67D" w:rsidR="009358A1" w:rsidRDefault="009358A1" w:rsidP="00C25CC7">
            <w:pPr>
              <w:pStyle w:val="Tabletext"/>
            </w:pPr>
            <w:r>
              <w:t>New protocol</w:t>
            </w:r>
          </w:p>
        </w:tc>
      </w:tr>
      <w:tr w:rsidR="009358A1" w14:paraId="770968CC" w14:textId="77777777" w:rsidTr="009358A1">
        <w:trPr>
          <w:trHeight w:val="1384"/>
        </w:trPr>
        <w:tc>
          <w:tcPr>
            <w:tcW w:w="988" w:type="dxa"/>
          </w:tcPr>
          <w:p w14:paraId="5AE4957B" w14:textId="27456C5E" w:rsidR="009358A1" w:rsidRDefault="00E23E2C" w:rsidP="009358A1">
            <w:pPr>
              <w:pStyle w:val="Tabletext"/>
            </w:pPr>
            <w:r>
              <w:t>19</w:t>
            </w:r>
          </w:p>
        </w:tc>
        <w:tc>
          <w:tcPr>
            <w:tcW w:w="2835" w:type="dxa"/>
          </w:tcPr>
          <w:p w14:paraId="0E4787B9" w14:textId="36971105" w:rsidR="009358A1" w:rsidRPr="00F67EA8" w:rsidRDefault="009358A1" w:rsidP="009358A1">
            <w:pPr>
              <w:pStyle w:val="Tabletext"/>
            </w:pPr>
            <w:r w:rsidRPr="00F67EA8">
              <w:t>Undifferentiated shock</w:t>
            </w:r>
          </w:p>
        </w:tc>
        <w:tc>
          <w:tcPr>
            <w:tcW w:w="5670" w:type="dxa"/>
          </w:tcPr>
          <w:p w14:paraId="6D8034AF" w14:textId="77777777" w:rsidR="009358A1" w:rsidRDefault="009358A1" w:rsidP="009358A1">
            <w:pPr>
              <w:pStyle w:val="Tabletext"/>
            </w:pPr>
            <w:r>
              <w:t>New protocol</w:t>
            </w:r>
          </w:p>
          <w:p w14:paraId="09EA82AB" w14:textId="47FBABC8" w:rsidR="009358A1" w:rsidRDefault="009358A1" w:rsidP="009358A1">
            <w:pPr>
              <w:pStyle w:val="Tabletext"/>
            </w:pPr>
            <w:r>
              <w:t xml:space="preserve">New Medication: Metaraminol (high acuity services) </w:t>
            </w:r>
          </w:p>
          <w:p w14:paraId="692E773B" w14:textId="60F5C137" w:rsidR="009358A1" w:rsidRPr="00EE7818" w:rsidRDefault="009358A1" w:rsidP="009358A1">
            <w:pPr>
              <w:pStyle w:val="Tabletext"/>
              <w:rPr>
                <w:i/>
                <w:iCs/>
              </w:rPr>
            </w:pPr>
            <w:r w:rsidRPr="00EE7818">
              <w:rPr>
                <w:i/>
                <w:iCs/>
              </w:rPr>
              <w:t>NB: Metaraminol inclusion is pending secretarial approval</w:t>
            </w:r>
          </w:p>
        </w:tc>
      </w:tr>
      <w:tr w:rsidR="009358A1" w14:paraId="77E8271C" w14:textId="77777777" w:rsidTr="00EE7818">
        <w:trPr>
          <w:trHeight w:val="855"/>
        </w:trPr>
        <w:tc>
          <w:tcPr>
            <w:tcW w:w="988" w:type="dxa"/>
          </w:tcPr>
          <w:p w14:paraId="2503DB03" w14:textId="1CED0382" w:rsidR="009358A1" w:rsidRDefault="009358A1" w:rsidP="009358A1">
            <w:pPr>
              <w:pStyle w:val="Tabletext"/>
            </w:pPr>
            <w:r>
              <w:t>2</w:t>
            </w:r>
            <w:r w:rsidR="00E23E2C">
              <w:t>0</w:t>
            </w:r>
          </w:p>
        </w:tc>
        <w:tc>
          <w:tcPr>
            <w:tcW w:w="2835" w:type="dxa"/>
          </w:tcPr>
          <w:p w14:paraId="1FF5C7DA" w14:textId="1AF00EBA" w:rsidR="009358A1" w:rsidRPr="00CA6DCA" w:rsidRDefault="009358A1" w:rsidP="009358A1">
            <w:pPr>
              <w:pStyle w:val="Tabletext"/>
            </w:pPr>
            <w:r w:rsidRPr="00CA6DCA">
              <w:t>Cardiogenic Shock</w:t>
            </w:r>
          </w:p>
        </w:tc>
        <w:tc>
          <w:tcPr>
            <w:tcW w:w="5670" w:type="dxa"/>
          </w:tcPr>
          <w:p w14:paraId="6AFAD14A" w14:textId="5CC35896" w:rsidR="009358A1" w:rsidRDefault="009358A1" w:rsidP="009358A1">
            <w:pPr>
              <w:pStyle w:val="Tabletext"/>
            </w:pPr>
            <w:r>
              <w:t xml:space="preserve">New </w:t>
            </w:r>
            <w:r w:rsidR="00E23E2C">
              <w:t>p</w:t>
            </w:r>
            <w:r>
              <w:t>rotocol</w:t>
            </w:r>
          </w:p>
          <w:p w14:paraId="3300ADCB" w14:textId="74FB00AB" w:rsidR="009358A1" w:rsidRDefault="009358A1" w:rsidP="009358A1">
            <w:pPr>
              <w:pStyle w:val="Tabletext"/>
            </w:pPr>
            <w:r>
              <w:t xml:space="preserve">Addition of </w:t>
            </w:r>
            <w:r w:rsidR="00E23E2C">
              <w:t>a</w:t>
            </w:r>
            <w:r>
              <w:t>drenaline infusion</w:t>
            </w:r>
          </w:p>
        </w:tc>
      </w:tr>
      <w:tr w:rsidR="009358A1" w14:paraId="36582FD6" w14:textId="77777777" w:rsidTr="00EE7818">
        <w:trPr>
          <w:trHeight w:val="1136"/>
        </w:trPr>
        <w:tc>
          <w:tcPr>
            <w:tcW w:w="988" w:type="dxa"/>
          </w:tcPr>
          <w:p w14:paraId="4C40AD66" w14:textId="2D48218D" w:rsidR="009358A1" w:rsidRDefault="009358A1" w:rsidP="009358A1">
            <w:pPr>
              <w:pStyle w:val="Tabletext"/>
            </w:pPr>
            <w:r>
              <w:t>2</w:t>
            </w:r>
            <w:r w:rsidR="00E23E2C">
              <w:t>1</w:t>
            </w:r>
          </w:p>
        </w:tc>
        <w:tc>
          <w:tcPr>
            <w:tcW w:w="2835" w:type="dxa"/>
          </w:tcPr>
          <w:p w14:paraId="6848F812" w14:textId="232696B9" w:rsidR="009358A1" w:rsidRPr="005D2123" w:rsidRDefault="009358A1" w:rsidP="009358A1">
            <w:pPr>
              <w:pStyle w:val="Tabletext"/>
            </w:pPr>
            <w:r w:rsidRPr="005D2123">
              <w:t>Acute cardiogenic pulmonary oedema (ACPO)</w:t>
            </w:r>
          </w:p>
        </w:tc>
        <w:tc>
          <w:tcPr>
            <w:tcW w:w="5670" w:type="dxa"/>
          </w:tcPr>
          <w:p w14:paraId="7C884A99" w14:textId="77777777" w:rsidR="009358A1" w:rsidRDefault="009358A1" w:rsidP="009358A1">
            <w:pPr>
              <w:pStyle w:val="Tabletext"/>
            </w:pPr>
            <w:r>
              <w:t>Renamed</w:t>
            </w:r>
          </w:p>
          <w:p w14:paraId="32ADD659" w14:textId="6D28FEB2" w:rsidR="009358A1" w:rsidRDefault="009358A1" w:rsidP="009358A1">
            <w:pPr>
              <w:pStyle w:val="Tabletext"/>
            </w:pPr>
            <w:r>
              <w:t>Additional explanatory information</w:t>
            </w:r>
          </w:p>
          <w:p w14:paraId="5261B875" w14:textId="66E15AC3" w:rsidR="009358A1" w:rsidRDefault="009358A1" w:rsidP="009358A1">
            <w:pPr>
              <w:pStyle w:val="Tabletext"/>
            </w:pPr>
            <w:r>
              <w:t xml:space="preserve">Inclusion of 0.4mg Nitrolingual spray GTN </w:t>
            </w:r>
          </w:p>
        </w:tc>
      </w:tr>
      <w:tr w:rsidR="009358A1" w14:paraId="45F16638" w14:textId="77777777" w:rsidTr="00EE7818">
        <w:trPr>
          <w:trHeight w:val="685"/>
        </w:trPr>
        <w:tc>
          <w:tcPr>
            <w:tcW w:w="988" w:type="dxa"/>
          </w:tcPr>
          <w:p w14:paraId="413ABEC7" w14:textId="6E7771AE" w:rsidR="009358A1" w:rsidRDefault="009358A1" w:rsidP="009358A1">
            <w:pPr>
              <w:pStyle w:val="Tabletext"/>
            </w:pPr>
            <w:r>
              <w:t>2</w:t>
            </w:r>
            <w:r w:rsidR="00E23E2C">
              <w:t>2</w:t>
            </w:r>
          </w:p>
        </w:tc>
        <w:tc>
          <w:tcPr>
            <w:tcW w:w="2835" w:type="dxa"/>
          </w:tcPr>
          <w:p w14:paraId="05B5AED7" w14:textId="3B82EDCD" w:rsidR="009358A1" w:rsidRPr="005D2123" w:rsidRDefault="009358A1" w:rsidP="009358A1">
            <w:pPr>
              <w:pStyle w:val="Tabletext"/>
            </w:pPr>
            <w:r w:rsidRPr="005B2979">
              <w:t>Stroke</w:t>
            </w:r>
          </w:p>
        </w:tc>
        <w:tc>
          <w:tcPr>
            <w:tcW w:w="5670" w:type="dxa"/>
          </w:tcPr>
          <w:p w14:paraId="260119B7" w14:textId="26A31478" w:rsidR="009358A1" w:rsidRDefault="009358A1" w:rsidP="00C25CC7">
            <w:pPr>
              <w:pStyle w:val="Tabletext"/>
            </w:pPr>
            <w:r>
              <w:t>Additional explanatory information</w:t>
            </w:r>
          </w:p>
        </w:tc>
      </w:tr>
      <w:tr w:rsidR="009358A1" w14:paraId="6B5829A6" w14:textId="77777777" w:rsidTr="00C25CC7">
        <w:trPr>
          <w:trHeight w:val="595"/>
        </w:trPr>
        <w:tc>
          <w:tcPr>
            <w:tcW w:w="988" w:type="dxa"/>
          </w:tcPr>
          <w:p w14:paraId="26F09CBD" w14:textId="7D444076" w:rsidR="009358A1" w:rsidRDefault="009358A1" w:rsidP="009358A1">
            <w:pPr>
              <w:pStyle w:val="Tabletext"/>
            </w:pPr>
            <w:r>
              <w:t>2</w:t>
            </w:r>
            <w:r w:rsidR="00E23E2C">
              <w:t>3</w:t>
            </w:r>
          </w:p>
        </w:tc>
        <w:tc>
          <w:tcPr>
            <w:tcW w:w="2835" w:type="dxa"/>
          </w:tcPr>
          <w:p w14:paraId="77B9D01B" w14:textId="54BBC3EF" w:rsidR="009358A1" w:rsidRPr="005B2979" w:rsidRDefault="009358A1" w:rsidP="009358A1">
            <w:pPr>
              <w:pStyle w:val="Tabletext"/>
            </w:pPr>
            <w:r>
              <w:t xml:space="preserve">Seizures </w:t>
            </w:r>
          </w:p>
        </w:tc>
        <w:tc>
          <w:tcPr>
            <w:tcW w:w="5670" w:type="dxa"/>
          </w:tcPr>
          <w:p w14:paraId="2E7186A8" w14:textId="04EA6002" w:rsidR="009358A1" w:rsidRDefault="009358A1" w:rsidP="00C25CC7">
            <w:pPr>
              <w:pStyle w:val="Tabletext"/>
            </w:pPr>
            <w:r>
              <w:t>Additional explanatory information</w:t>
            </w:r>
          </w:p>
        </w:tc>
      </w:tr>
      <w:tr w:rsidR="009358A1" w14:paraId="3FA2BBEB" w14:textId="77777777" w:rsidTr="009358A1">
        <w:trPr>
          <w:trHeight w:val="1384"/>
        </w:trPr>
        <w:tc>
          <w:tcPr>
            <w:tcW w:w="988" w:type="dxa"/>
          </w:tcPr>
          <w:p w14:paraId="54894010" w14:textId="0224CA5B" w:rsidR="009358A1" w:rsidRDefault="009358A1" w:rsidP="009358A1">
            <w:pPr>
              <w:pStyle w:val="Tabletext"/>
            </w:pPr>
            <w:r>
              <w:t>2</w:t>
            </w:r>
            <w:r w:rsidR="00E23E2C">
              <w:t>4</w:t>
            </w:r>
          </w:p>
        </w:tc>
        <w:tc>
          <w:tcPr>
            <w:tcW w:w="2835" w:type="dxa"/>
          </w:tcPr>
          <w:p w14:paraId="306B8C64" w14:textId="14B177E1" w:rsidR="009358A1" w:rsidRDefault="009358A1" w:rsidP="009358A1">
            <w:pPr>
              <w:pStyle w:val="Tabletext"/>
            </w:pPr>
            <w:r w:rsidRPr="00355856">
              <w:t>Asthma (adult</w:t>
            </w:r>
            <w:r>
              <w:t xml:space="preserve"> and paediatric</w:t>
            </w:r>
            <w:r w:rsidRPr="00355856">
              <w:t>)</w:t>
            </w:r>
          </w:p>
        </w:tc>
        <w:tc>
          <w:tcPr>
            <w:tcW w:w="5670" w:type="dxa"/>
          </w:tcPr>
          <w:p w14:paraId="493B0379" w14:textId="51D29D93" w:rsidR="009358A1" w:rsidRDefault="009358A1" w:rsidP="009358A1">
            <w:pPr>
              <w:pStyle w:val="Tabletext"/>
            </w:pPr>
            <w:r w:rsidRPr="005D64FB">
              <w:t>Additional explanatory information</w:t>
            </w:r>
          </w:p>
          <w:p w14:paraId="3BADCDF6" w14:textId="6589A5D2" w:rsidR="009358A1" w:rsidRDefault="009358A1" w:rsidP="009358A1">
            <w:pPr>
              <w:pStyle w:val="Tabletext"/>
            </w:pPr>
            <w:r>
              <w:t>Inclusion of:</w:t>
            </w:r>
          </w:p>
          <w:p w14:paraId="272A107D" w14:textId="0DE39FE9" w:rsidR="009358A1" w:rsidRDefault="009358A1" w:rsidP="009358A1">
            <w:pPr>
              <w:pStyle w:val="Tabletext"/>
              <w:numPr>
                <w:ilvl w:val="0"/>
                <w:numId w:val="41"/>
              </w:numPr>
            </w:pPr>
            <w:r>
              <w:t>Adrenaline IMI (including 1:1000 drawn up doses)</w:t>
            </w:r>
          </w:p>
          <w:p w14:paraId="28F5A55B" w14:textId="7B4801AF" w:rsidR="009358A1" w:rsidRDefault="009358A1" w:rsidP="009358A1">
            <w:pPr>
              <w:pStyle w:val="Tabletext"/>
              <w:numPr>
                <w:ilvl w:val="0"/>
                <w:numId w:val="41"/>
              </w:numPr>
            </w:pPr>
            <w:r>
              <w:t>Salbutamol PMDI for PTO</w:t>
            </w:r>
          </w:p>
        </w:tc>
      </w:tr>
      <w:tr w:rsidR="009358A1" w14:paraId="50B6B439" w14:textId="77777777" w:rsidTr="00EE7818">
        <w:trPr>
          <w:trHeight w:val="986"/>
        </w:trPr>
        <w:tc>
          <w:tcPr>
            <w:tcW w:w="988" w:type="dxa"/>
          </w:tcPr>
          <w:p w14:paraId="696CC8DD" w14:textId="6CF0B51E" w:rsidR="009358A1" w:rsidRDefault="009358A1" w:rsidP="009358A1">
            <w:pPr>
              <w:pStyle w:val="Tabletext"/>
            </w:pPr>
            <w:r>
              <w:t>2</w:t>
            </w:r>
            <w:r w:rsidR="00E23E2C">
              <w:t>5</w:t>
            </w:r>
          </w:p>
        </w:tc>
        <w:tc>
          <w:tcPr>
            <w:tcW w:w="2835" w:type="dxa"/>
          </w:tcPr>
          <w:p w14:paraId="0D62A479" w14:textId="7E3279A8" w:rsidR="009358A1" w:rsidRPr="00E023F9" w:rsidRDefault="009358A1" w:rsidP="009358A1">
            <w:pPr>
              <w:pStyle w:val="Tabletext"/>
            </w:pPr>
            <w:r w:rsidRPr="00E023F9">
              <w:t>Chronic Obstructive Pulmonary Disease (COPD) exacerbation</w:t>
            </w:r>
          </w:p>
        </w:tc>
        <w:tc>
          <w:tcPr>
            <w:tcW w:w="5670" w:type="dxa"/>
          </w:tcPr>
          <w:p w14:paraId="1C4C75CC" w14:textId="1DA9DDA6" w:rsidR="009358A1" w:rsidRDefault="009358A1" w:rsidP="00C25CC7">
            <w:pPr>
              <w:pStyle w:val="Tabletext"/>
            </w:pPr>
            <w:r w:rsidRPr="005D64FB">
              <w:t>Additional explanatory information</w:t>
            </w:r>
          </w:p>
        </w:tc>
      </w:tr>
      <w:tr w:rsidR="009358A1" w14:paraId="0C5F8E2F" w14:textId="77777777" w:rsidTr="009358A1">
        <w:trPr>
          <w:trHeight w:val="304"/>
        </w:trPr>
        <w:tc>
          <w:tcPr>
            <w:tcW w:w="988" w:type="dxa"/>
          </w:tcPr>
          <w:p w14:paraId="4AC59638" w14:textId="5340F30E" w:rsidR="009358A1" w:rsidRDefault="009358A1" w:rsidP="009358A1">
            <w:pPr>
              <w:pStyle w:val="Tabletext"/>
            </w:pPr>
            <w:r>
              <w:t>2</w:t>
            </w:r>
            <w:r w:rsidR="00E23E2C">
              <w:t>6</w:t>
            </w:r>
          </w:p>
        </w:tc>
        <w:tc>
          <w:tcPr>
            <w:tcW w:w="2835" w:type="dxa"/>
          </w:tcPr>
          <w:p w14:paraId="1920D284" w14:textId="116F181D" w:rsidR="009358A1" w:rsidRPr="00902123" w:rsidRDefault="009358A1" w:rsidP="009358A1">
            <w:pPr>
              <w:pStyle w:val="Tabletext"/>
            </w:pPr>
            <w:r w:rsidRPr="00902123">
              <w:t>Anaphylaxis (adult</w:t>
            </w:r>
            <w:r>
              <w:t xml:space="preserve"> and paediatric</w:t>
            </w:r>
            <w:r w:rsidRPr="00902123">
              <w:t>)</w:t>
            </w:r>
          </w:p>
        </w:tc>
        <w:tc>
          <w:tcPr>
            <w:tcW w:w="5670" w:type="dxa"/>
          </w:tcPr>
          <w:p w14:paraId="0CB117A1" w14:textId="2884E412" w:rsidR="009358A1" w:rsidRDefault="009358A1" w:rsidP="009358A1">
            <w:pPr>
              <w:pStyle w:val="Tabletext"/>
            </w:pPr>
            <w:r>
              <w:t>Updated RASH criteria</w:t>
            </w:r>
          </w:p>
          <w:p w14:paraId="695761D7" w14:textId="6ADF1EE5" w:rsidR="009358A1" w:rsidRDefault="009358A1" w:rsidP="009358A1">
            <w:pPr>
              <w:pStyle w:val="Tabletext"/>
            </w:pPr>
            <w:r>
              <w:t>Inclusion of:</w:t>
            </w:r>
          </w:p>
          <w:p w14:paraId="78C4985C" w14:textId="77777777" w:rsidR="009358A1" w:rsidRDefault="009358A1" w:rsidP="009358A1">
            <w:pPr>
              <w:pStyle w:val="Tabletext"/>
            </w:pPr>
            <w:r>
              <w:t>Adrenaline IMI (including 1:1000 drawn up doses)</w:t>
            </w:r>
          </w:p>
          <w:p w14:paraId="0638F6B1" w14:textId="77777777" w:rsidR="00EE7818" w:rsidRDefault="009358A1" w:rsidP="009358A1">
            <w:pPr>
              <w:pStyle w:val="Tabletext"/>
            </w:pPr>
            <w:r>
              <w:lastRenderedPageBreak/>
              <w:t>Salbutamol PMDI for PTO</w:t>
            </w:r>
            <w:r w:rsidDel="006D6828">
              <w:t xml:space="preserve"> </w:t>
            </w:r>
          </w:p>
          <w:p w14:paraId="781EF66D" w14:textId="687FB468" w:rsidR="009358A1" w:rsidRDefault="009358A1" w:rsidP="009358A1">
            <w:pPr>
              <w:pStyle w:val="Tabletext"/>
            </w:pPr>
            <w:r>
              <w:t>Normal saline (for high acuity)</w:t>
            </w:r>
          </w:p>
          <w:p w14:paraId="1B38C236" w14:textId="014FEE36" w:rsidR="009358A1" w:rsidRDefault="009358A1" w:rsidP="009358A1">
            <w:pPr>
              <w:pStyle w:val="Tabletext"/>
            </w:pPr>
            <w:r>
              <w:t>Glucagon administration (adult only)</w:t>
            </w:r>
          </w:p>
        </w:tc>
      </w:tr>
      <w:tr w:rsidR="009358A1" w14:paraId="07817302" w14:textId="77777777" w:rsidTr="00EE7818">
        <w:trPr>
          <w:trHeight w:val="971"/>
        </w:trPr>
        <w:tc>
          <w:tcPr>
            <w:tcW w:w="988" w:type="dxa"/>
          </w:tcPr>
          <w:p w14:paraId="624BCBC4" w14:textId="44663C7D" w:rsidR="009358A1" w:rsidRDefault="009358A1" w:rsidP="009358A1">
            <w:pPr>
              <w:pStyle w:val="Tabletext"/>
            </w:pPr>
            <w:r>
              <w:lastRenderedPageBreak/>
              <w:t>2</w:t>
            </w:r>
            <w:r w:rsidR="00E23E2C">
              <w:t>7</w:t>
            </w:r>
          </w:p>
        </w:tc>
        <w:tc>
          <w:tcPr>
            <w:tcW w:w="2835" w:type="dxa"/>
          </w:tcPr>
          <w:p w14:paraId="10D514BE" w14:textId="6B9C8444" w:rsidR="009358A1" w:rsidRPr="00015D56" w:rsidRDefault="009358A1" w:rsidP="009358A1">
            <w:pPr>
              <w:pStyle w:val="Tabletext"/>
            </w:pPr>
            <w:r w:rsidRPr="00015D56">
              <w:t>Acute Coronary Syndrome (Cardiac Chest Pain)</w:t>
            </w:r>
          </w:p>
        </w:tc>
        <w:tc>
          <w:tcPr>
            <w:tcW w:w="5670" w:type="dxa"/>
          </w:tcPr>
          <w:p w14:paraId="25AC0F0C" w14:textId="00112D78" w:rsidR="009358A1" w:rsidRDefault="009358A1" w:rsidP="009358A1">
            <w:pPr>
              <w:pStyle w:val="Tabletext"/>
            </w:pPr>
            <w:r>
              <w:t>Updated and additional explanatory information</w:t>
            </w:r>
          </w:p>
          <w:p w14:paraId="59897E23" w14:textId="3158F979" w:rsidR="009358A1" w:rsidRDefault="009358A1" w:rsidP="009358A1">
            <w:pPr>
              <w:pStyle w:val="Tabletext"/>
            </w:pPr>
            <w:r>
              <w:t xml:space="preserve">Inclusion of 0.4mg nitrolingual spray GTN </w:t>
            </w:r>
          </w:p>
        </w:tc>
      </w:tr>
      <w:tr w:rsidR="009358A1" w14:paraId="2F0A93EA" w14:textId="77777777" w:rsidTr="009358A1">
        <w:trPr>
          <w:trHeight w:val="594"/>
        </w:trPr>
        <w:tc>
          <w:tcPr>
            <w:tcW w:w="988" w:type="dxa"/>
          </w:tcPr>
          <w:p w14:paraId="67AA1F97" w14:textId="168F7953" w:rsidR="009358A1" w:rsidRDefault="009358A1" w:rsidP="009358A1">
            <w:pPr>
              <w:pStyle w:val="Tabletext"/>
            </w:pPr>
            <w:r>
              <w:t>2</w:t>
            </w:r>
            <w:r w:rsidR="00E23E2C">
              <w:t>8</w:t>
            </w:r>
          </w:p>
        </w:tc>
        <w:tc>
          <w:tcPr>
            <w:tcW w:w="2835" w:type="dxa"/>
          </w:tcPr>
          <w:p w14:paraId="048ADFCA" w14:textId="447250D7" w:rsidR="009358A1" w:rsidRPr="005C446D" w:rsidRDefault="009358A1" w:rsidP="009358A1">
            <w:pPr>
              <w:pStyle w:val="Tabletext"/>
            </w:pPr>
            <w:r w:rsidRPr="005C446D">
              <w:t>Hypoglycaemia</w:t>
            </w:r>
          </w:p>
        </w:tc>
        <w:tc>
          <w:tcPr>
            <w:tcW w:w="5670" w:type="dxa"/>
          </w:tcPr>
          <w:p w14:paraId="5EB80C7E" w14:textId="64CFF31C" w:rsidR="009358A1" w:rsidRDefault="009358A1" w:rsidP="00C25CC7">
            <w:pPr>
              <w:pStyle w:val="Tabletext"/>
            </w:pPr>
            <w:r>
              <w:t>Updated explanatory information</w:t>
            </w:r>
          </w:p>
        </w:tc>
      </w:tr>
      <w:tr w:rsidR="009358A1" w14:paraId="4830E07B" w14:textId="77777777" w:rsidTr="00EE7818">
        <w:trPr>
          <w:trHeight w:val="1122"/>
        </w:trPr>
        <w:tc>
          <w:tcPr>
            <w:tcW w:w="988" w:type="dxa"/>
          </w:tcPr>
          <w:p w14:paraId="74804C0E" w14:textId="5B84C94A" w:rsidR="009358A1" w:rsidRDefault="00E23E2C" w:rsidP="009358A1">
            <w:pPr>
              <w:pStyle w:val="Tabletext"/>
            </w:pPr>
            <w:r>
              <w:t>29</w:t>
            </w:r>
          </w:p>
        </w:tc>
        <w:tc>
          <w:tcPr>
            <w:tcW w:w="2835" w:type="dxa"/>
          </w:tcPr>
          <w:p w14:paraId="78F2A147" w14:textId="0406189C" w:rsidR="009358A1" w:rsidRPr="00027851" w:rsidRDefault="009358A1" w:rsidP="009358A1">
            <w:pPr>
              <w:pStyle w:val="Tabletext"/>
            </w:pPr>
            <w:r w:rsidRPr="00027851">
              <w:t>Hyperglycaemia</w:t>
            </w:r>
          </w:p>
        </w:tc>
        <w:tc>
          <w:tcPr>
            <w:tcW w:w="5670" w:type="dxa"/>
          </w:tcPr>
          <w:p w14:paraId="180B8BED" w14:textId="1106B9FE" w:rsidR="009358A1" w:rsidRDefault="009358A1" w:rsidP="009358A1">
            <w:pPr>
              <w:pStyle w:val="Tabletext"/>
            </w:pPr>
            <w:r>
              <w:t>New protocol</w:t>
            </w:r>
          </w:p>
          <w:p w14:paraId="0F222C17" w14:textId="1C96EB7E" w:rsidR="009358A1" w:rsidRDefault="009358A1" w:rsidP="009358A1">
            <w:pPr>
              <w:pStyle w:val="Tabletext"/>
            </w:pPr>
            <w:r>
              <w:t>Inclusion of IV normal saline if incidental finding during transport (high acuity)</w:t>
            </w:r>
          </w:p>
        </w:tc>
      </w:tr>
      <w:tr w:rsidR="009358A1" w14:paraId="74FB0A51" w14:textId="77777777" w:rsidTr="00EE7818">
        <w:trPr>
          <w:trHeight w:val="543"/>
        </w:trPr>
        <w:tc>
          <w:tcPr>
            <w:tcW w:w="988" w:type="dxa"/>
          </w:tcPr>
          <w:p w14:paraId="0093A87A" w14:textId="5A529530" w:rsidR="009358A1" w:rsidRDefault="009358A1" w:rsidP="009358A1">
            <w:pPr>
              <w:pStyle w:val="Tabletext"/>
            </w:pPr>
            <w:r>
              <w:t>3</w:t>
            </w:r>
            <w:r w:rsidR="00E23E2C">
              <w:t>0</w:t>
            </w:r>
          </w:p>
        </w:tc>
        <w:tc>
          <w:tcPr>
            <w:tcW w:w="2835" w:type="dxa"/>
          </w:tcPr>
          <w:p w14:paraId="3BB2FE7A" w14:textId="1F8402C6" w:rsidR="009358A1" w:rsidRPr="00D65A63" w:rsidRDefault="009358A1" w:rsidP="009358A1">
            <w:pPr>
              <w:pStyle w:val="Tabletext"/>
            </w:pPr>
            <w:r w:rsidRPr="00D65A63">
              <w:t>Nausea and vomiting</w:t>
            </w:r>
          </w:p>
        </w:tc>
        <w:tc>
          <w:tcPr>
            <w:tcW w:w="5670" w:type="dxa"/>
          </w:tcPr>
          <w:p w14:paraId="5CD963F7" w14:textId="7732C15B" w:rsidR="009358A1" w:rsidRDefault="009358A1" w:rsidP="00C25CC7">
            <w:pPr>
              <w:pStyle w:val="Tabletext"/>
            </w:pPr>
            <w:r>
              <w:t>Updated explanatory information</w:t>
            </w:r>
          </w:p>
        </w:tc>
      </w:tr>
      <w:tr w:rsidR="009358A1" w14:paraId="3983A246" w14:textId="77777777" w:rsidTr="00EE7818">
        <w:trPr>
          <w:trHeight w:val="681"/>
        </w:trPr>
        <w:tc>
          <w:tcPr>
            <w:tcW w:w="988" w:type="dxa"/>
          </w:tcPr>
          <w:p w14:paraId="7084A6E4" w14:textId="7D01019C" w:rsidR="009358A1" w:rsidRDefault="009358A1" w:rsidP="009358A1">
            <w:pPr>
              <w:pStyle w:val="Tabletext"/>
            </w:pPr>
            <w:r>
              <w:t>3</w:t>
            </w:r>
            <w:r w:rsidR="00E23E2C">
              <w:t>1</w:t>
            </w:r>
          </w:p>
        </w:tc>
        <w:tc>
          <w:tcPr>
            <w:tcW w:w="2835" w:type="dxa"/>
          </w:tcPr>
          <w:p w14:paraId="2C0375BC" w14:textId="0946A18C" w:rsidR="009358A1" w:rsidRPr="00D65A63" w:rsidRDefault="009358A1" w:rsidP="009358A1">
            <w:pPr>
              <w:pStyle w:val="Tabletext"/>
            </w:pPr>
            <w:r w:rsidRPr="00C2468C">
              <w:t>Foreign body airway obstruction (FBAO)</w:t>
            </w:r>
          </w:p>
        </w:tc>
        <w:tc>
          <w:tcPr>
            <w:tcW w:w="5670" w:type="dxa"/>
          </w:tcPr>
          <w:p w14:paraId="1BC87F59" w14:textId="227FCE37" w:rsidR="009358A1" w:rsidRDefault="009358A1" w:rsidP="00C25CC7">
            <w:pPr>
              <w:pStyle w:val="Tabletext"/>
            </w:pPr>
            <w:r>
              <w:t>New protocol</w:t>
            </w:r>
          </w:p>
        </w:tc>
      </w:tr>
      <w:tr w:rsidR="009358A1" w14:paraId="46E4F5C4" w14:textId="77777777" w:rsidTr="00EE7818">
        <w:trPr>
          <w:trHeight w:val="678"/>
        </w:trPr>
        <w:tc>
          <w:tcPr>
            <w:tcW w:w="988" w:type="dxa"/>
          </w:tcPr>
          <w:p w14:paraId="3A79C614" w14:textId="01907C17" w:rsidR="009358A1" w:rsidRDefault="009358A1" w:rsidP="009358A1">
            <w:pPr>
              <w:pStyle w:val="Tabletext"/>
            </w:pPr>
            <w:r>
              <w:t>3</w:t>
            </w:r>
            <w:r w:rsidR="00E23E2C">
              <w:t>2</w:t>
            </w:r>
          </w:p>
        </w:tc>
        <w:tc>
          <w:tcPr>
            <w:tcW w:w="2835" w:type="dxa"/>
          </w:tcPr>
          <w:p w14:paraId="6CB0C3E1" w14:textId="14B00A98" w:rsidR="009358A1" w:rsidRPr="00C2468C" w:rsidRDefault="009358A1" w:rsidP="009358A1">
            <w:pPr>
              <w:pStyle w:val="Tabletext"/>
            </w:pPr>
            <w:r>
              <w:t>Laryngectomy and tracheostomy care</w:t>
            </w:r>
          </w:p>
        </w:tc>
        <w:tc>
          <w:tcPr>
            <w:tcW w:w="5670" w:type="dxa"/>
          </w:tcPr>
          <w:p w14:paraId="54578E0A" w14:textId="74C9CE70" w:rsidR="009358A1" w:rsidRDefault="009358A1" w:rsidP="00C25CC7">
            <w:pPr>
              <w:pStyle w:val="Tabletext"/>
            </w:pPr>
            <w:r>
              <w:t>New protocol</w:t>
            </w:r>
          </w:p>
        </w:tc>
      </w:tr>
      <w:tr w:rsidR="009358A1" w14:paraId="6F902DCB" w14:textId="77777777" w:rsidTr="009358A1">
        <w:trPr>
          <w:trHeight w:val="1384"/>
        </w:trPr>
        <w:tc>
          <w:tcPr>
            <w:tcW w:w="988" w:type="dxa"/>
          </w:tcPr>
          <w:p w14:paraId="2A6C3145" w14:textId="3EA83403" w:rsidR="009358A1" w:rsidRDefault="009358A1" w:rsidP="009358A1">
            <w:pPr>
              <w:pStyle w:val="Tabletext"/>
            </w:pPr>
            <w:r>
              <w:t>3</w:t>
            </w:r>
            <w:r w:rsidR="00E23E2C">
              <w:t>3</w:t>
            </w:r>
          </w:p>
        </w:tc>
        <w:tc>
          <w:tcPr>
            <w:tcW w:w="2835" w:type="dxa"/>
          </w:tcPr>
          <w:p w14:paraId="13AAE149" w14:textId="231AFB4D" w:rsidR="009358A1" w:rsidRDefault="009358A1" w:rsidP="009358A1">
            <w:pPr>
              <w:pStyle w:val="Tabletext"/>
            </w:pPr>
            <w:r>
              <w:t xml:space="preserve">Pain relief </w:t>
            </w:r>
          </w:p>
        </w:tc>
        <w:tc>
          <w:tcPr>
            <w:tcW w:w="5670" w:type="dxa"/>
          </w:tcPr>
          <w:p w14:paraId="5D278E2A" w14:textId="0FE4E3C7" w:rsidR="009358A1" w:rsidRDefault="009358A1" w:rsidP="009358A1">
            <w:pPr>
              <w:pStyle w:val="Tabletext"/>
            </w:pPr>
            <w:r>
              <w:t>Update</w:t>
            </w:r>
            <w:r w:rsidR="00EE7818">
              <w:t>d</w:t>
            </w:r>
            <w:r>
              <w:t xml:space="preserve"> management priorities to include non-pharmacological options </w:t>
            </w:r>
          </w:p>
          <w:p w14:paraId="5185CF40" w14:textId="77777777" w:rsidR="009358A1" w:rsidRDefault="009358A1" w:rsidP="009358A1">
            <w:pPr>
              <w:pStyle w:val="Tabletext"/>
            </w:pPr>
            <w:r>
              <w:t xml:space="preserve">New Medication: Entonox </w:t>
            </w:r>
          </w:p>
          <w:p w14:paraId="1D91705C" w14:textId="6E0CF59A" w:rsidR="009358A1" w:rsidRDefault="009358A1" w:rsidP="00C25CC7">
            <w:pPr>
              <w:pStyle w:val="Tabletext"/>
            </w:pPr>
            <w:r w:rsidRPr="00EE7818">
              <w:rPr>
                <w:i/>
                <w:iCs/>
              </w:rPr>
              <w:t>NB: Entonox inclusion is pending secretarial approval</w:t>
            </w:r>
            <w:r w:rsidR="00BA7879">
              <w:rPr>
                <w:i/>
                <w:iCs/>
              </w:rPr>
              <w:t xml:space="preserve"> and may not be carried by all licence holders</w:t>
            </w:r>
          </w:p>
        </w:tc>
      </w:tr>
      <w:tr w:rsidR="009358A1" w14:paraId="3550FEC4" w14:textId="77777777" w:rsidTr="00BA7879">
        <w:trPr>
          <w:trHeight w:val="388"/>
        </w:trPr>
        <w:tc>
          <w:tcPr>
            <w:tcW w:w="988" w:type="dxa"/>
          </w:tcPr>
          <w:p w14:paraId="2302D4FC" w14:textId="1239B943" w:rsidR="009358A1" w:rsidRDefault="009358A1" w:rsidP="009358A1">
            <w:pPr>
              <w:pStyle w:val="Tabletext"/>
            </w:pPr>
            <w:r>
              <w:t>3</w:t>
            </w:r>
            <w:r w:rsidR="00E23E2C">
              <w:t>4</w:t>
            </w:r>
          </w:p>
        </w:tc>
        <w:tc>
          <w:tcPr>
            <w:tcW w:w="2835" w:type="dxa"/>
          </w:tcPr>
          <w:p w14:paraId="3EB1873D" w14:textId="63E249BE" w:rsidR="009358A1" w:rsidRDefault="009358A1" w:rsidP="009358A1">
            <w:pPr>
              <w:pStyle w:val="Tabletext"/>
            </w:pPr>
            <w:r>
              <w:t>Burns</w:t>
            </w:r>
          </w:p>
        </w:tc>
        <w:tc>
          <w:tcPr>
            <w:tcW w:w="5670" w:type="dxa"/>
          </w:tcPr>
          <w:p w14:paraId="3B9DF1C6" w14:textId="7B33DB75" w:rsidR="009358A1" w:rsidRDefault="009358A1" w:rsidP="009358A1">
            <w:pPr>
              <w:pStyle w:val="Tabletext"/>
            </w:pPr>
            <w:r>
              <w:t>Updated explanatory information</w:t>
            </w:r>
          </w:p>
        </w:tc>
      </w:tr>
      <w:tr w:rsidR="009358A1" w14:paraId="6C0B07BB" w14:textId="77777777" w:rsidTr="00BA7879">
        <w:trPr>
          <w:trHeight w:val="564"/>
        </w:trPr>
        <w:tc>
          <w:tcPr>
            <w:tcW w:w="988" w:type="dxa"/>
          </w:tcPr>
          <w:p w14:paraId="4E56AA9E" w14:textId="47164594" w:rsidR="009358A1" w:rsidRDefault="009358A1" w:rsidP="009358A1">
            <w:pPr>
              <w:pStyle w:val="Tabletext"/>
            </w:pPr>
            <w:r>
              <w:t>3</w:t>
            </w:r>
            <w:r w:rsidR="00E23E2C">
              <w:t>5</w:t>
            </w:r>
          </w:p>
        </w:tc>
        <w:tc>
          <w:tcPr>
            <w:tcW w:w="2835" w:type="dxa"/>
          </w:tcPr>
          <w:p w14:paraId="3D750E4B" w14:textId="77777777" w:rsidR="009358A1" w:rsidRDefault="009358A1" w:rsidP="009358A1">
            <w:pPr>
              <w:pStyle w:val="Tabletext"/>
            </w:pPr>
            <w:r w:rsidRPr="0021112E">
              <w:t>Fractures/</w:t>
            </w:r>
          </w:p>
          <w:p w14:paraId="6DDC4484" w14:textId="4EB22764" w:rsidR="009358A1" w:rsidRDefault="009358A1" w:rsidP="009358A1">
            <w:pPr>
              <w:pStyle w:val="Tabletext"/>
            </w:pPr>
            <w:r w:rsidRPr="0021112E">
              <w:t>dislocation</w:t>
            </w:r>
          </w:p>
        </w:tc>
        <w:tc>
          <w:tcPr>
            <w:tcW w:w="5670" w:type="dxa"/>
          </w:tcPr>
          <w:p w14:paraId="363D62FB" w14:textId="239E007F" w:rsidR="009358A1" w:rsidRDefault="009358A1" w:rsidP="009358A1">
            <w:pPr>
              <w:pStyle w:val="Tabletext"/>
            </w:pPr>
            <w:r>
              <w:t>Updated explanatory information</w:t>
            </w:r>
          </w:p>
        </w:tc>
      </w:tr>
      <w:tr w:rsidR="009358A1" w14:paraId="5D3576A0" w14:textId="77777777" w:rsidTr="00BA7879">
        <w:trPr>
          <w:trHeight w:val="560"/>
        </w:trPr>
        <w:tc>
          <w:tcPr>
            <w:tcW w:w="988" w:type="dxa"/>
          </w:tcPr>
          <w:p w14:paraId="4E03FD7B" w14:textId="6837AE40" w:rsidR="009358A1" w:rsidRDefault="009358A1" w:rsidP="009358A1">
            <w:pPr>
              <w:pStyle w:val="Tabletext"/>
            </w:pPr>
            <w:r>
              <w:t>3</w:t>
            </w:r>
            <w:r w:rsidR="00E23E2C">
              <w:t>6</w:t>
            </w:r>
          </w:p>
        </w:tc>
        <w:tc>
          <w:tcPr>
            <w:tcW w:w="2835" w:type="dxa"/>
          </w:tcPr>
          <w:p w14:paraId="0A2043A9" w14:textId="20553E65" w:rsidR="009358A1" w:rsidRPr="0021112E" w:rsidRDefault="009358A1" w:rsidP="009358A1">
            <w:pPr>
              <w:pStyle w:val="Tabletext"/>
            </w:pPr>
            <w:r w:rsidRPr="00E870C8">
              <w:t>Traumatic head injury</w:t>
            </w:r>
          </w:p>
        </w:tc>
        <w:tc>
          <w:tcPr>
            <w:tcW w:w="5670" w:type="dxa"/>
          </w:tcPr>
          <w:p w14:paraId="12D0540F" w14:textId="0147756C" w:rsidR="009358A1" w:rsidRDefault="009358A1" w:rsidP="009358A1">
            <w:pPr>
              <w:pStyle w:val="Tabletext"/>
            </w:pPr>
            <w:r>
              <w:t>Updated explanatory information</w:t>
            </w:r>
          </w:p>
        </w:tc>
      </w:tr>
      <w:tr w:rsidR="009358A1" w14:paraId="7D75F068" w14:textId="77777777" w:rsidTr="00BA7879">
        <w:trPr>
          <w:trHeight w:val="844"/>
        </w:trPr>
        <w:tc>
          <w:tcPr>
            <w:tcW w:w="988" w:type="dxa"/>
          </w:tcPr>
          <w:p w14:paraId="40009A57" w14:textId="0D9470B2" w:rsidR="009358A1" w:rsidRDefault="009358A1" w:rsidP="009358A1">
            <w:pPr>
              <w:pStyle w:val="Tabletext"/>
            </w:pPr>
            <w:r>
              <w:t>3</w:t>
            </w:r>
            <w:r w:rsidR="00E23E2C">
              <w:t>7</w:t>
            </w:r>
          </w:p>
        </w:tc>
        <w:tc>
          <w:tcPr>
            <w:tcW w:w="2835" w:type="dxa"/>
          </w:tcPr>
          <w:p w14:paraId="722DDE6F" w14:textId="57D236FA" w:rsidR="009358A1" w:rsidRPr="00E870C8" w:rsidRDefault="009358A1" w:rsidP="009358A1">
            <w:pPr>
              <w:pStyle w:val="Tabletext"/>
            </w:pPr>
            <w:r>
              <w:t>P</w:t>
            </w:r>
            <w:r w:rsidRPr="00814228">
              <w:t>otential spinal injury</w:t>
            </w:r>
          </w:p>
        </w:tc>
        <w:tc>
          <w:tcPr>
            <w:tcW w:w="5670" w:type="dxa"/>
          </w:tcPr>
          <w:p w14:paraId="36940477" w14:textId="77777777" w:rsidR="009358A1" w:rsidRDefault="009358A1" w:rsidP="009358A1">
            <w:pPr>
              <w:pStyle w:val="Tabletext"/>
            </w:pPr>
            <w:r>
              <w:t>Updated explanatory information</w:t>
            </w:r>
          </w:p>
          <w:p w14:paraId="24B70884" w14:textId="77777777" w:rsidR="00BA7879" w:rsidRDefault="009358A1" w:rsidP="009358A1">
            <w:pPr>
              <w:pStyle w:val="Tabletext"/>
            </w:pPr>
            <w:r>
              <w:t>Inclusion of ‘soft’ C-collars in preference to ‘rigid’</w:t>
            </w:r>
            <w:r w:rsidR="00BA7879">
              <w:t>*</w:t>
            </w:r>
          </w:p>
          <w:p w14:paraId="64BB3891" w14:textId="012104F7" w:rsidR="009358A1" w:rsidRPr="00E23E2C" w:rsidRDefault="00BA7879" w:rsidP="009358A1">
            <w:pPr>
              <w:pStyle w:val="Tabletext"/>
              <w:rPr>
                <w:i/>
                <w:iCs/>
              </w:rPr>
            </w:pPr>
            <w:r w:rsidRPr="00E23E2C">
              <w:rPr>
                <w:i/>
                <w:iCs/>
              </w:rPr>
              <w:t xml:space="preserve">*transition period </w:t>
            </w:r>
            <w:r w:rsidR="00E23E2C" w:rsidRPr="00E23E2C">
              <w:rPr>
                <w:i/>
                <w:iCs/>
              </w:rPr>
              <w:t>provided to licence holders</w:t>
            </w:r>
            <w:r w:rsidR="009358A1" w:rsidRPr="00E23E2C">
              <w:rPr>
                <w:i/>
                <w:iCs/>
              </w:rPr>
              <w:t xml:space="preserve"> </w:t>
            </w:r>
          </w:p>
        </w:tc>
      </w:tr>
      <w:tr w:rsidR="009358A1" w14:paraId="33CCABE1" w14:textId="77777777" w:rsidTr="00BA7879">
        <w:trPr>
          <w:trHeight w:val="702"/>
        </w:trPr>
        <w:tc>
          <w:tcPr>
            <w:tcW w:w="988" w:type="dxa"/>
          </w:tcPr>
          <w:p w14:paraId="73B0113C" w14:textId="221278C9" w:rsidR="009358A1" w:rsidRDefault="009358A1" w:rsidP="009358A1">
            <w:pPr>
              <w:pStyle w:val="Tabletext"/>
            </w:pPr>
            <w:r>
              <w:t>3</w:t>
            </w:r>
            <w:r w:rsidR="00E23E2C">
              <w:t>8</w:t>
            </w:r>
          </w:p>
        </w:tc>
        <w:tc>
          <w:tcPr>
            <w:tcW w:w="2835" w:type="dxa"/>
          </w:tcPr>
          <w:p w14:paraId="449213B2" w14:textId="3D90C5F1" w:rsidR="009358A1" w:rsidRDefault="009358A1" w:rsidP="009358A1">
            <w:pPr>
              <w:pStyle w:val="Tabletext"/>
            </w:pPr>
            <w:r w:rsidRPr="00BA5FA2">
              <w:t>Advanced care directives and end of life care</w:t>
            </w:r>
          </w:p>
        </w:tc>
        <w:tc>
          <w:tcPr>
            <w:tcW w:w="5670" w:type="dxa"/>
          </w:tcPr>
          <w:p w14:paraId="330A78E5" w14:textId="76067C19" w:rsidR="009358A1" w:rsidRDefault="009358A1" w:rsidP="009358A1">
            <w:pPr>
              <w:pStyle w:val="Tabletext"/>
            </w:pPr>
            <w:r>
              <w:t>Updated and presented information in a single protocol</w:t>
            </w:r>
          </w:p>
        </w:tc>
      </w:tr>
      <w:tr w:rsidR="009358A1" w14:paraId="43F2CF67" w14:textId="77777777" w:rsidTr="00BA7879">
        <w:trPr>
          <w:trHeight w:val="844"/>
        </w:trPr>
        <w:tc>
          <w:tcPr>
            <w:tcW w:w="988" w:type="dxa"/>
          </w:tcPr>
          <w:p w14:paraId="588F9F79" w14:textId="1185903B" w:rsidR="009358A1" w:rsidRDefault="00E23E2C" w:rsidP="009358A1">
            <w:pPr>
              <w:pStyle w:val="Tabletext"/>
            </w:pPr>
            <w:r>
              <w:t>39</w:t>
            </w:r>
          </w:p>
        </w:tc>
        <w:tc>
          <w:tcPr>
            <w:tcW w:w="2835" w:type="dxa"/>
          </w:tcPr>
          <w:p w14:paraId="18E5D73A" w14:textId="33FB698A" w:rsidR="009358A1" w:rsidRPr="00BA5FA2" w:rsidRDefault="009358A1" w:rsidP="009358A1">
            <w:pPr>
              <w:pStyle w:val="Tabletext"/>
            </w:pPr>
            <w:r w:rsidRPr="00937C0C">
              <w:t>Mental Health patients</w:t>
            </w:r>
          </w:p>
        </w:tc>
        <w:tc>
          <w:tcPr>
            <w:tcW w:w="5670" w:type="dxa"/>
          </w:tcPr>
          <w:p w14:paraId="4F0C9B5D" w14:textId="77777777" w:rsidR="009358A1" w:rsidRDefault="009358A1" w:rsidP="009358A1">
            <w:pPr>
              <w:pStyle w:val="Tabletext"/>
            </w:pPr>
            <w:r>
              <w:t>Updated information</w:t>
            </w:r>
          </w:p>
          <w:p w14:paraId="447E7F9F" w14:textId="31B11C86" w:rsidR="009358A1" w:rsidRDefault="009358A1" w:rsidP="009358A1">
            <w:pPr>
              <w:pStyle w:val="Tabletext"/>
            </w:pPr>
            <w:r>
              <w:t>Inclusion of NEPT as an option for transport</w:t>
            </w:r>
          </w:p>
        </w:tc>
      </w:tr>
      <w:tr w:rsidR="009358A1" w14:paraId="4D2CDA2E" w14:textId="77777777" w:rsidTr="00E23E2C">
        <w:trPr>
          <w:trHeight w:val="558"/>
        </w:trPr>
        <w:tc>
          <w:tcPr>
            <w:tcW w:w="988" w:type="dxa"/>
          </w:tcPr>
          <w:p w14:paraId="2F806875" w14:textId="744D900D" w:rsidR="009358A1" w:rsidRDefault="009358A1" w:rsidP="009358A1">
            <w:pPr>
              <w:pStyle w:val="Tabletext"/>
            </w:pPr>
            <w:r>
              <w:t>4</w:t>
            </w:r>
            <w:r w:rsidR="00E23E2C">
              <w:t>0</w:t>
            </w:r>
          </w:p>
        </w:tc>
        <w:tc>
          <w:tcPr>
            <w:tcW w:w="2835" w:type="dxa"/>
          </w:tcPr>
          <w:p w14:paraId="6C342206" w14:textId="397D5079" w:rsidR="009358A1" w:rsidRPr="00937C0C" w:rsidRDefault="009358A1" w:rsidP="009358A1">
            <w:pPr>
              <w:pStyle w:val="Tabletext"/>
            </w:pPr>
            <w:r w:rsidRPr="004F38F0">
              <w:t>‘Double-loading’ (low acuity only)</w:t>
            </w:r>
          </w:p>
        </w:tc>
        <w:tc>
          <w:tcPr>
            <w:tcW w:w="5670" w:type="dxa"/>
          </w:tcPr>
          <w:p w14:paraId="270A31FF" w14:textId="6ECCA91D" w:rsidR="009358A1" w:rsidRDefault="009358A1" w:rsidP="009358A1">
            <w:pPr>
              <w:pStyle w:val="Tabletext"/>
            </w:pPr>
            <w:r>
              <w:t xml:space="preserve">New </w:t>
            </w:r>
            <w:r w:rsidR="00E23E2C">
              <w:t>p</w:t>
            </w:r>
            <w:r>
              <w:t xml:space="preserve">rotocol </w:t>
            </w:r>
            <w:r w:rsidR="00857BE3">
              <w:t xml:space="preserve">- </w:t>
            </w:r>
            <w:r>
              <w:t xml:space="preserve">regulatory requirements </w:t>
            </w:r>
          </w:p>
        </w:tc>
      </w:tr>
      <w:tr w:rsidR="009358A1" w14:paraId="13E1A39C" w14:textId="77777777" w:rsidTr="00E23E2C">
        <w:trPr>
          <w:trHeight w:val="481"/>
        </w:trPr>
        <w:tc>
          <w:tcPr>
            <w:tcW w:w="988" w:type="dxa"/>
          </w:tcPr>
          <w:p w14:paraId="674545CC" w14:textId="2AE5D9AD" w:rsidR="009358A1" w:rsidRDefault="009358A1" w:rsidP="009358A1">
            <w:pPr>
              <w:pStyle w:val="Tabletext"/>
            </w:pPr>
            <w:r>
              <w:t>4</w:t>
            </w:r>
            <w:r w:rsidR="00E23E2C">
              <w:t>1</w:t>
            </w:r>
          </w:p>
        </w:tc>
        <w:tc>
          <w:tcPr>
            <w:tcW w:w="2835" w:type="dxa"/>
          </w:tcPr>
          <w:p w14:paraId="67937F0B" w14:textId="207AA46B" w:rsidR="009358A1" w:rsidRPr="004F38F0" w:rsidRDefault="009358A1" w:rsidP="009358A1">
            <w:pPr>
              <w:pStyle w:val="Tabletext"/>
            </w:pPr>
            <w:r w:rsidRPr="0096128B">
              <w:t>Minimum equipment list</w:t>
            </w:r>
          </w:p>
        </w:tc>
        <w:tc>
          <w:tcPr>
            <w:tcW w:w="5670" w:type="dxa"/>
          </w:tcPr>
          <w:p w14:paraId="207DC455" w14:textId="1C02675A" w:rsidR="009358A1" w:rsidRDefault="009358A1" w:rsidP="009358A1">
            <w:pPr>
              <w:pStyle w:val="Tabletext"/>
            </w:pPr>
            <w:r>
              <w:t xml:space="preserve">New protocol- checklist </w:t>
            </w:r>
          </w:p>
        </w:tc>
      </w:tr>
      <w:tr w:rsidR="009358A1" w14:paraId="518AAB0B" w14:textId="77777777" w:rsidTr="00E23E2C">
        <w:trPr>
          <w:trHeight w:val="559"/>
        </w:trPr>
        <w:tc>
          <w:tcPr>
            <w:tcW w:w="988" w:type="dxa"/>
          </w:tcPr>
          <w:p w14:paraId="6F0DFCB6" w14:textId="7C794CB5" w:rsidR="009358A1" w:rsidRDefault="009358A1" w:rsidP="009358A1">
            <w:pPr>
              <w:pStyle w:val="Tabletext"/>
            </w:pPr>
            <w:r>
              <w:t>4</w:t>
            </w:r>
            <w:r w:rsidR="00E23E2C">
              <w:t>2</w:t>
            </w:r>
          </w:p>
        </w:tc>
        <w:tc>
          <w:tcPr>
            <w:tcW w:w="2835" w:type="dxa"/>
          </w:tcPr>
          <w:p w14:paraId="06A4CF8D" w14:textId="12224124" w:rsidR="009358A1" w:rsidRPr="0096128B" w:rsidRDefault="009358A1" w:rsidP="009358A1">
            <w:pPr>
              <w:pStyle w:val="Tabletext"/>
            </w:pPr>
            <w:r w:rsidRPr="00457C86">
              <w:t>Prolonged transport</w:t>
            </w:r>
          </w:p>
        </w:tc>
        <w:tc>
          <w:tcPr>
            <w:tcW w:w="5670" w:type="dxa"/>
          </w:tcPr>
          <w:p w14:paraId="7BBB0A64" w14:textId="306C3F4F" w:rsidR="009358A1" w:rsidRDefault="009358A1" w:rsidP="009358A1">
            <w:pPr>
              <w:pStyle w:val="Tabletext"/>
            </w:pPr>
            <w:r>
              <w:t xml:space="preserve">New </w:t>
            </w:r>
            <w:r w:rsidR="00E23E2C">
              <w:t>p</w:t>
            </w:r>
            <w:r>
              <w:t xml:space="preserve">rotocol </w:t>
            </w:r>
          </w:p>
        </w:tc>
      </w:tr>
      <w:tr w:rsidR="009358A1" w14:paraId="15F01199" w14:textId="77777777" w:rsidTr="00E23E2C">
        <w:trPr>
          <w:trHeight w:val="992"/>
        </w:trPr>
        <w:tc>
          <w:tcPr>
            <w:tcW w:w="988" w:type="dxa"/>
          </w:tcPr>
          <w:p w14:paraId="4A9E7507" w14:textId="6786F0E4" w:rsidR="009358A1" w:rsidRDefault="009358A1" w:rsidP="009358A1">
            <w:pPr>
              <w:pStyle w:val="Tabletext"/>
            </w:pPr>
            <w:r>
              <w:lastRenderedPageBreak/>
              <w:t>4</w:t>
            </w:r>
            <w:r w:rsidR="00E23E2C">
              <w:t>3</w:t>
            </w:r>
          </w:p>
        </w:tc>
        <w:tc>
          <w:tcPr>
            <w:tcW w:w="2835" w:type="dxa"/>
          </w:tcPr>
          <w:p w14:paraId="3BFC7A0A" w14:textId="66AE9E95" w:rsidR="009358A1" w:rsidRPr="00457C86" w:rsidRDefault="009358A1" w:rsidP="009358A1">
            <w:pPr>
              <w:pStyle w:val="Tabletext"/>
            </w:pPr>
            <w:r w:rsidRPr="006A06A3">
              <w:t>Medication pharmacology reference material</w:t>
            </w:r>
          </w:p>
        </w:tc>
        <w:tc>
          <w:tcPr>
            <w:tcW w:w="5670" w:type="dxa"/>
          </w:tcPr>
          <w:p w14:paraId="5406B66F" w14:textId="77777777" w:rsidR="009358A1" w:rsidRDefault="009358A1" w:rsidP="009358A1">
            <w:pPr>
              <w:pStyle w:val="Tabletext"/>
            </w:pPr>
            <w:r>
              <w:t>Additional explanatory information</w:t>
            </w:r>
          </w:p>
          <w:p w14:paraId="5FE2AC12" w14:textId="2091A747" w:rsidR="009358A1" w:rsidRDefault="009358A1" w:rsidP="009358A1">
            <w:pPr>
              <w:pStyle w:val="Tabletext"/>
            </w:pPr>
            <w:r>
              <w:t>NB: Some medication pharmacology sheets have been updated</w:t>
            </w:r>
          </w:p>
        </w:tc>
      </w:tr>
    </w:tbl>
    <w:p w14:paraId="37D62C97" w14:textId="1077E203" w:rsidR="00232323" w:rsidRDefault="00232323"/>
    <w:p w14:paraId="5C08B7A4" w14:textId="25D0FFE9" w:rsidR="00232323" w:rsidRDefault="00E23E2C">
      <w:r>
        <w:rPr>
          <w:noProof/>
        </w:rPr>
        <mc:AlternateContent>
          <mc:Choice Requires="wps">
            <w:drawing>
              <wp:anchor distT="45720" distB="45720" distL="114300" distR="114300" simplePos="0" relativeHeight="251660288" behindDoc="0" locked="0" layoutInCell="1" allowOverlap="1" wp14:anchorId="76F95B85" wp14:editId="228C0F14">
                <wp:simplePos x="0" y="0"/>
                <wp:positionH relativeFrom="column">
                  <wp:posOffset>22143</wp:posOffset>
                </wp:positionH>
                <wp:positionV relativeFrom="paragraph">
                  <wp:posOffset>367030</wp:posOffset>
                </wp:positionV>
                <wp:extent cx="5883910" cy="1558290"/>
                <wp:effectExtent l="0" t="0" r="2159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558290"/>
                        </a:xfrm>
                        <a:prstGeom prst="rect">
                          <a:avLst/>
                        </a:prstGeom>
                        <a:solidFill>
                          <a:srgbClr val="FFFFFF"/>
                        </a:solidFill>
                        <a:ln w="9525">
                          <a:solidFill>
                            <a:srgbClr val="000000"/>
                          </a:solidFill>
                          <a:miter lim="800000"/>
                          <a:headEnd/>
                          <a:tailEnd/>
                        </a:ln>
                      </wps:spPr>
                      <wps:txbx>
                        <w:txbxContent>
                          <w:p w14:paraId="6F1F787D" w14:textId="77777777" w:rsidR="00E23E2C" w:rsidRPr="00E23E2C" w:rsidRDefault="00E23E2C" w:rsidP="00E23E2C">
                            <w:pPr>
                              <w:pStyle w:val="Accessibilitypara"/>
                              <w:rPr>
                                <w:sz w:val="22"/>
                                <w:szCs w:val="22"/>
                              </w:rPr>
                            </w:pPr>
                            <w:r w:rsidRPr="00E23E2C">
                              <w:rPr>
                                <w:sz w:val="22"/>
                                <w:szCs w:val="22"/>
                              </w:rPr>
                              <w:t xml:space="preserve">To receive this document in another format </w:t>
                            </w:r>
                            <w:hyperlink r:id="rId15" w:history="1">
                              <w:r w:rsidRPr="00E23E2C">
                                <w:rPr>
                                  <w:rStyle w:val="Hyperlink"/>
                                  <w:sz w:val="22"/>
                                  <w:szCs w:val="22"/>
                                </w:rPr>
                                <w:t>email</w:t>
                              </w:r>
                            </w:hyperlink>
                            <w:r w:rsidRPr="00E23E2C">
                              <w:rPr>
                                <w:sz w:val="22"/>
                                <w:szCs w:val="22"/>
                              </w:rPr>
                              <w:t xml:space="preserve"> the Non-Emergency Patient Transport and First Aid Services team &lt;NEPTFirstAidRegulation@health.vic.gov.au&gt;.</w:t>
                            </w:r>
                          </w:p>
                          <w:p w14:paraId="255E46A7" w14:textId="77777777" w:rsidR="00E23E2C" w:rsidRPr="0055119B" w:rsidRDefault="00E23E2C" w:rsidP="00E23E2C">
                            <w:pPr>
                              <w:pStyle w:val="Imprint"/>
                            </w:pPr>
                            <w:r w:rsidRPr="0055119B">
                              <w:t>Authorised and published by the Victorian Government, 1 Treasury Place, Melbourne.</w:t>
                            </w:r>
                          </w:p>
                          <w:p w14:paraId="2CC9363B" w14:textId="77777777" w:rsidR="00E23E2C" w:rsidRDefault="00E23E2C" w:rsidP="00E23E2C">
                            <w:pPr>
                              <w:pStyle w:val="Imprint"/>
                            </w:pPr>
                            <w:r w:rsidRPr="0055119B">
                              <w:t xml:space="preserve">© State of Victoria, Australia, Department </w:t>
                            </w:r>
                            <w:r w:rsidRPr="001B058F">
                              <w:t xml:space="preserve">of </w:t>
                            </w:r>
                            <w:r>
                              <w:t>Health</w:t>
                            </w:r>
                            <w:r w:rsidRPr="0055119B">
                              <w:t xml:space="preserve">, </w:t>
                            </w:r>
                            <w:r w:rsidRPr="009358A1">
                              <w:rPr>
                                <w:color w:val="auto"/>
                              </w:rPr>
                              <w:t>May 2023</w:t>
                            </w:r>
                          </w:p>
                          <w:p w14:paraId="3E324CCD" w14:textId="77777777" w:rsidR="00E23E2C" w:rsidRPr="002365B4" w:rsidRDefault="00E23E2C" w:rsidP="00E23E2C">
                            <w:pPr>
                              <w:pStyle w:val="Tabletext"/>
                            </w:pPr>
                            <w:r w:rsidRPr="0055119B">
                              <w:t xml:space="preserve">Available at </w:t>
                            </w:r>
                            <w:r w:rsidRPr="001A0473">
                              <w:t xml:space="preserve">the </w:t>
                            </w:r>
                            <w:hyperlink r:id="rId16" w:history="1">
                              <w:r w:rsidRPr="001A0473">
                                <w:rPr>
                                  <w:rStyle w:val="Hyperlink"/>
                                </w:rPr>
                                <w:t>NEPT legislation and Clinical Practice Protocols webpage</w:t>
                              </w:r>
                            </w:hyperlink>
                            <w:r w:rsidRPr="001A0473">
                              <w:t xml:space="preserve"> </w:t>
                            </w:r>
                            <w:r w:rsidRPr="0055119B">
                              <w:t>&lt;</w:t>
                            </w:r>
                            <w:r w:rsidRPr="00580672">
                              <w:t>https://www.health.vic.gov.au/patient-care/nept-legislation-and-clinical-practice-protocols</w:t>
                            </w:r>
                          </w:p>
                          <w:p w14:paraId="447D42DF" w14:textId="60643D87" w:rsidR="00E23E2C" w:rsidRDefault="00E23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95B85" id="_x0000_t202" coordsize="21600,21600" o:spt="202" path="m,l,21600r21600,l21600,xe">
                <v:stroke joinstyle="miter"/>
                <v:path gradientshapeok="t" o:connecttype="rect"/>
              </v:shapetype>
              <v:shape id="Text Box 2" o:spid="_x0000_s1026" type="#_x0000_t202" style="position:absolute;margin-left:1.75pt;margin-top:28.9pt;width:463.3pt;height:12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">
                <v:textbox>
                  <w:txbxContent>
                    <w:p w14:paraId="6F1F787D" w14:textId="77777777" w:rsidR="00E23E2C" w:rsidRPr="00E23E2C" w:rsidRDefault="00E23E2C" w:rsidP="00E23E2C">
                      <w:pPr>
                        <w:pStyle w:val="Accessibilitypara"/>
                        <w:rPr>
                          <w:sz w:val="22"/>
                          <w:szCs w:val="22"/>
                        </w:rPr>
                      </w:pPr>
                      <w:r w:rsidRPr="00E23E2C">
                        <w:rPr>
                          <w:sz w:val="22"/>
                          <w:szCs w:val="22"/>
                        </w:rPr>
                        <w:t xml:space="preserve">To receive this document in another format </w:t>
                      </w:r>
                      <w:hyperlink r:id="rId17" w:history="1">
                        <w:r w:rsidRPr="00E23E2C">
                          <w:rPr>
                            <w:rStyle w:val="Hyperlink"/>
                            <w:sz w:val="22"/>
                            <w:szCs w:val="22"/>
                          </w:rPr>
                          <w:t>email</w:t>
                        </w:r>
                      </w:hyperlink>
                      <w:r w:rsidRPr="00E23E2C">
                        <w:rPr>
                          <w:sz w:val="22"/>
                          <w:szCs w:val="22"/>
                        </w:rPr>
                        <w:t xml:space="preserve"> the Non-Emergency Patient Transport and First Aid Services team &lt;NEPTFirstAidRegulation@health.vic.gov.au&gt;.</w:t>
                      </w:r>
                    </w:p>
                    <w:p w14:paraId="255E46A7" w14:textId="77777777" w:rsidR="00E23E2C" w:rsidRPr="0055119B" w:rsidRDefault="00E23E2C" w:rsidP="00E23E2C">
                      <w:pPr>
                        <w:pStyle w:val="Imprint"/>
                      </w:pPr>
                      <w:r w:rsidRPr="0055119B">
                        <w:t>Authorised and published by the Victorian Government, 1 Treasury Place, Melbourne.</w:t>
                      </w:r>
                    </w:p>
                    <w:p w14:paraId="2CC9363B" w14:textId="77777777" w:rsidR="00E23E2C" w:rsidRDefault="00E23E2C" w:rsidP="00E23E2C">
                      <w:pPr>
                        <w:pStyle w:val="Imprint"/>
                      </w:pPr>
                      <w:r w:rsidRPr="0055119B">
                        <w:t xml:space="preserve">© State of Victoria, Australia, Department </w:t>
                      </w:r>
                      <w:r w:rsidRPr="001B058F">
                        <w:t xml:space="preserve">of </w:t>
                      </w:r>
                      <w:r>
                        <w:t>Health</w:t>
                      </w:r>
                      <w:r w:rsidRPr="0055119B">
                        <w:t xml:space="preserve">, </w:t>
                      </w:r>
                      <w:r w:rsidRPr="009358A1">
                        <w:rPr>
                          <w:color w:val="auto"/>
                        </w:rPr>
                        <w:t>May 2023</w:t>
                      </w:r>
                    </w:p>
                    <w:p w14:paraId="3E324CCD" w14:textId="77777777" w:rsidR="00E23E2C" w:rsidRPr="002365B4" w:rsidRDefault="00E23E2C" w:rsidP="00E23E2C">
                      <w:pPr>
                        <w:pStyle w:val="Tabletext"/>
                      </w:pPr>
                      <w:r w:rsidRPr="0055119B">
                        <w:t xml:space="preserve">Available at </w:t>
                      </w:r>
                      <w:r w:rsidRPr="001A0473">
                        <w:t xml:space="preserve">the </w:t>
                      </w:r>
                      <w:hyperlink r:id="rId18" w:history="1">
                        <w:r w:rsidRPr="001A0473">
                          <w:rPr>
                            <w:rStyle w:val="Hyperlink"/>
                          </w:rPr>
                          <w:t>NEPT legislation and Clinical Practice Protocols webpage</w:t>
                        </w:r>
                      </w:hyperlink>
                      <w:r w:rsidRPr="001A0473">
                        <w:t xml:space="preserve"> </w:t>
                      </w:r>
                      <w:r w:rsidRPr="0055119B">
                        <w:t>&lt;</w:t>
                      </w:r>
                      <w:r w:rsidRPr="00580672">
                        <w:t>https://www.health.vic.gov.au/patient-care/nept-legislation-and-clinical-practice-protocols</w:t>
                      </w:r>
                    </w:p>
                    <w:p w14:paraId="447D42DF" w14:textId="60643D87" w:rsidR="00E23E2C" w:rsidRDefault="00E23E2C"/>
                  </w:txbxContent>
                </v:textbox>
                <w10:wrap type="square"/>
              </v:shape>
            </w:pict>
          </mc:Fallback>
        </mc:AlternateContent>
      </w:r>
    </w:p>
    <w:bookmarkEnd w:id="0"/>
    <w:bookmarkEnd w:id="1"/>
    <w:p w14:paraId="459E42B5" w14:textId="77777777" w:rsidR="0055318A" w:rsidRDefault="0055318A" w:rsidP="00F501A1">
      <w:pPr>
        <w:pStyle w:val="Tabletext"/>
      </w:pPr>
    </w:p>
    <w:p w14:paraId="158C445C" w14:textId="3941A12D" w:rsidR="00670DAC" w:rsidRDefault="00670DAC" w:rsidP="00F501A1">
      <w:pPr>
        <w:pStyle w:val="Tabletext"/>
      </w:pPr>
    </w:p>
    <w:p w14:paraId="16A21028" w14:textId="77777777" w:rsidR="00670DAC" w:rsidRDefault="00670DAC" w:rsidP="00F501A1">
      <w:pPr>
        <w:pStyle w:val="Tabletext"/>
      </w:pPr>
    </w:p>
    <w:sectPr w:rsidR="00670DAC" w:rsidSect="006D31CA">
      <w:headerReference w:type="even" r:id="rId19"/>
      <w:headerReference w:type="default" r:id="rId20"/>
      <w:footerReference w:type="even" r:id="rId21"/>
      <w:footerReference w:type="default" r:id="rId22"/>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EA93" w14:textId="77777777" w:rsidR="007A011B" w:rsidRDefault="007A011B">
      <w:r>
        <w:separator/>
      </w:r>
    </w:p>
    <w:p w14:paraId="26D3F394" w14:textId="77777777" w:rsidR="007A011B" w:rsidRDefault="007A011B"/>
  </w:endnote>
  <w:endnote w:type="continuationSeparator" w:id="0">
    <w:p w14:paraId="6A2EEAB7" w14:textId="77777777" w:rsidR="007A011B" w:rsidRDefault="007A011B">
      <w:r>
        <w:continuationSeparator/>
      </w:r>
    </w:p>
    <w:p w14:paraId="24EF6804" w14:textId="77777777" w:rsidR="007A011B" w:rsidRDefault="007A011B"/>
  </w:endnote>
  <w:endnote w:type="continuationNotice" w:id="1">
    <w:p w14:paraId="439FD702" w14:textId="77777777" w:rsidR="007A011B" w:rsidRDefault="007A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DAE3" w14:textId="77777777" w:rsidR="00EB4BC7" w:rsidRDefault="00EB4BC7">
    <w:pPr>
      <w:pStyle w:val="Footer"/>
    </w:pPr>
    <w:r>
      <w:rPr>
        <w:noProof/>
      </w:rPr>
      <mc:AlternateContent>
        <mc:Choice Requires="wps">
          <w:drawing>
            <wp:anchor distT="0" distB="0" distL="114300" distR="114300" simplePos="0" relativeHeight="251644928" behindDoc="0" locked="0" layoutInCell="0" allowOverlap="1" wp14:anchorId="7A89CBC6" wp14:editId="135B5315">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D4B3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89CBC6"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A6D4B3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5D63" w14:textId="3E50F43D" w:rsidR="00431A70" w:rsidRDefault="00857BE3">
    <w:pPr>
      <w:pStyle w:val="Footer"/>
    </w:pPr>
    <w:r>
      <w:rPr>
        <w:noProof/>
      </w:rPr>
      <mc:AlternateContent>
        <mc:Choice Requires="wps">
          <w:drawing>
            <wp:anchor distT="0" distB="0" distL="114300" distR="114300" simplePos="0" relativeHeight="251676672" behindDoc="0" locked="0" layoutInCell="0" allowOverlap="1" wp14:anchorId="42B6A2F9" wp14:editId="472947F0">
              <wp:simplePos x="0" y="0"/>
              <wp:positionH relativeFrom="page">
                <wp:posOffset>0</wp:posOffset>
              </wp:positionH>
              <wp:positionV relativeFrom="page">
                <wp:posOffset>10189210</wp:posOffset>
              </wp:positionV>
              <wp:extent cx="7560310" cy="311785"/>
              <wp:effectExtent l="0" t="0" r="0" b="12065"/>
              <wp:wrapNone/>
              <wp:docPr id="5" name="MSIPCM331547a7a8c423c31eda778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71F75" w14:textId="64527F6A"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B6A2F9" id="_x0000_t202" coordsize="21600,21600" o:spt="202" path="m,l,21600r21600,l21600,xe">
              <v:stroke joinstyle="miter"/>
              <v:path gradientshapeok="t" o:connecttype="rect"/>
            </v:shapetype>
            <v:shape id="MSIPCM331547a7a8c423c31eda778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4671F75" w14:textId="64527F6A"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5585" w14:textId="7EAEE58F" w:rsidR="00EB4BC7" w:rsidRDefault="00857BE3">
    <w:pPr>
      <w:pStyle w:val="Footer"/>
    </w:pPr>
    <w:r>
      <w:rPr>
        <w:noProof/>
      </w:rPr>
      <mc:AlternateContent>
        <mc:Choice Requires="wps">
          <w:drawing>
            <wp:anchor distT="0" distB="0" distL="114300" distR="114300" simplePos="0" relativeHeight="251677696" behindDoc="0" locked="0" layoutInCell="0" allowOverlap="1" wp14:anchorId="16A995A3" wp14:editId="324292DF">
              <wp:simplePos x="0" y="0"/>
              <wp:positionH relativeFrom="page">
                <wp:posOffset>0</wp:posOffset>
              </wp:positionH>
              <wp:positionV relativeFrom="page">
                <wp:posOffset>10189210</wp:posOffset>
              </wp:positionV>
              <wp:extent cx="7560310" cy="311785"/>
              <wp:effectExtent l="0" t="0" r="0" b="12065"/>
              <wp:wrapNone/>
              <wp:docPr id="6" name="MSIPCMf3284d1fabb6c1220393425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CC562" w14:textId="60F4FE9E"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A995A3" id="_x0000_t202" coordsize="21600,21600" o:spt="202" path="m,l,21600r21600,l21600,xe">
              <v:stroke joinstyle="miter"/>
              <v:path gradientshapeok="t" o:connecttype="rect"/>
            </v:shapetype>
            <v:shape id="MSIPCMf3284d1fabb6c1220393425b"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ACC562" w14:textId="60F4FE9E"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9398" w14:textId="77777777" w:rsidR="00D63636" w:rsidRDefault="002C5B7C">
    <w:pPr>
      <w:pStyle w:val="Footer"/>
    </w:pPr>
    <w:r>
      <w:rPr>
        <w:noProof/>
        <w:lang w:eastAsia="en-AU"/>
      </w:rPr>
      <mc:AlternateContent>
        <mc:Choice Requires="wps">
          <w:drawing>
            <wp:anchor distT="0" distB="0" distL="114300" distR="114300" simplePos="0" relativeHeight="251657216" behindDoc="0" locked="0" layoutInCell="0" allowOverlap="1" wp14:anchorId="23CEE541" wp14:editId="533DB2CC">
              <wp:simplePos x="0" y="0"/>
              <wp:positionH relativeFrom="page">
                <wp:posOffset>0</wp:posOffset>
              </wp:positionH>
              <wp:positionV relativeFrom="page">
                <wp:posOffset>10189210</wp:posOffset>
              </wp:positionV>
              <wp:extent cx="7560310" cy="311785"/>
              <wp:effectExtent l="0" t="0" r="0" b="12065"/>
              <wp:wrapNone/>
              <wp:docPr id="1"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108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CEE54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071081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315" w14:textId="4C258651" w:rsidR="00431A70" w:rsidRDefault="00857BE3">
    <w:pPr>
      <w:pStyle w:val="Footer"/>
    </w:pPr>
    <w:r>
      <w:rPr>
        <w:noProof/>
        <w:lang w:eastAsia="en-AU"/>
      </w:rPr>
      <mc:AlternateContent>
        <mc:Choice Requires="wps">
          <w:drawing>
            <wp:anchor distT="0" distB="0" distL="114300" distR="114300" simplePos="0" relativeHeight="251678720" behindDoc="0" locked="0" layoutInCell="0" allowOverlap="1" wp14:anchorId="569EA2CC" wp14:editId="55B11030">
              <wp:simplePos x="0" y="0"/>
              <wp:positionH relativeFrom="page">
                <wp:posOffset>0</wp:posOffset>
              </wp:positionH>
              <wp:positionV relativeFrom="page">
                <wp:posOffset>10189210</wp:posOffset>
              </wp:positionV>
              <wp:extent cx="7560310" cy="311785"/>
              <wp:effectExtent l="0" t="0" r="0" b="12065"/>
              <wp:wrapNone/>
              <wp:docPr id="8" name="MSIPCM0d734af7ad8c0867398804e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17B9E" w14:textId="16955611"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EA2CC" id="_x0000_t202" coordsize="21600,21600" o:spt="202" path="m,l,21600r21600,l21600,xe">
              <v:stroke joinstyle="miter"/>
              <v:path gradientshapeok="t" o:connecttype="rect"/>
            </v:shapetype>
            <v:shape id="MSIPCM0d734af7ad8c0867398804e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B817B9E" w14:textId="16955611" w:rsidR="00857BE3" w:rsidRPr="00857BE3" w:rsidRDefault="00857BE3" w:rsidP="00857BE3">
                    <w:pPr>
                      <w:spacing w:after="0"/>
                      <w:jc w:val="center"/>
                      <w:rPr>
                        <w:rFonts w:ascii="Arial Black" w:hAnsi="Arial Black"/>
                        <w:color w:val="000000"/>
                        <w:sz w:val="20"/>
                      </w:rPr>
                    </w:pPr>
                    <w:r w:rsidRPr="00857BE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1072" behindDoc="0" locked="0" layoutInCell="0" allowOverlap="1" wp14:anchorId="29723B45" wp14:editId="1E588B44">
              <wp:simplePos x="0" y="0"/>
              <wp:positionH relativeFrom="page">
                <wp:posOffset>0</wp:posOffset>
              </wp:positionH>
              <wp:positionV relativeFrom="page">
                <wp:posOffset>10189845</wp:posOffset>
              </wp:positionV>
              <wp:extent cx="7560310" cy="311785"/>
              <wp:effectExtent l="0" t="0" r="0" b="12065"/>
              <wp:wrapNone/>
              <wp:docPr id="9"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B38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723B4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54B387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5598" w14:textId="77777777" w:rsidR="007A011B" w:rsidRDefault="007A011B" w:rsidP="00207717">
      <w:pPr>
        <w:spacing w:before="120"/>
      </w:pPr>
      <w:r>
        <w:separator/>
      </w:r>
    </w:p>
  </w:footnote>
  <w:footnote w:type="continuationSeparator" w:id="0">
    <w:p w14:paraId="139641D2" w14:textId="77777777" w:rsidR="007A011B" w:rsidRDefault="007A011B">
      <w:r>
        <w:continuationSeparator/>
      </w:r>
    </w:p>
    <w:p w14:paraId="0667D249" w14:textId="77777777" w:rsidR="007A011B" w:rsidRDefault="007A011B"/>
  </w:footnote>
  <w:footnote w:type="continuationNotice" w:id="1">
    <w:p w14:paraId="4FB46AE1" w14:textId="77777777" w:rsidR="007A011B" w:rsidRDefault="007A0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8E9E"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FC14" w14:textId="312A5860" w:rsidR="00562811" w:rsidRPr="0051568D" w:rsidRDefault="00062392" w:rsidP="0017674D">
    <w:pPr>
      <w:pStyle w:val="Header"/>
    </w:pPr>
    <w:r>
      <w:t>Clinical Practice Protocol</w:t>
    </w:r>
    <w:r w:rsidR="008C7247">
      <w:t xml:space="preserve"> change log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80D05"/>
    <w:multiLevelType w:val="hybridMultilevel"/>
    <w:tmpl w:val="7BACF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81038"/>
    <w:multiLevelType w:val="hybridMultilevel"/>
    <w:tmpl w:val="E8466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F5C7970"/>
    <w:multiLevelType w:val="hybridMultilevel"/>
    <w:tmpl w:val="009A7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872AAD"/>
    <w:multiLevelType w:val="hybridMultilevel"/>
    <w:tmpl w:val="D130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67569619">
    <w:abstractNumId w:val="10"/>
  </w:num>
  <w:num w:numId="2" w16cid:durableId="700279678">
    <w:abstractNumId w:val="20"/>
  </w:num>
  <w:num w:numId="3" w16cid:durableId="238633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041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151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9781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650308">
    <w:abstractNumId w:val="24"/>
  </w:num>
  <w:num w:numId="8" w16cid:durableId="1386291424">
    <w:abstractNumId w:val="18"/>
  </w:num>
  <w:num w:numId="9" w16cid:durableId="580334922">
    <w:abstractNumId w:val="23"/>
  </w:num>
  <w:num w:numId="10" w16cid:durableId="1237203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220313">
    <w:abstractNumId w:val="25"/>
  </w:num>
  <w:num w:numId="12" w16cid:durableId="16448887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826135">
    <w:abstractNumId w:val="21"/>
  </w:num>
  <w:num w:numId="14" w16cid:durableId="801577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3186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992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7977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8698979">
    <w:abstractNumId w:val="27"/>
  </w:num>
  <w:num w:numId="19" w16cid:durableId="979165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353485">
    <w:abstractNumId w:val="14"/>
  </w:num>
  <w:num w:numId="21" w16cid:durableId="237519642">
    <w:abstractNumId w:val="12"/>
  </w:num>
  <w:num w:numId="22" w16cid:durableId="1117791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420709">
    <w:abstractNumId w:val="15"/>
  </w:num>
  <w:num w:numId="24" w16cid:durableId="1035811194">
    <w:abstractNumId w:val="30"/>
  </w:num>
  <w:num w:numId="25" w16cid:durableId="1122307135">
    <w:abstractNumId w:val="26"/>
  </w:num>
  <w:num w:numId="26" w16cid:durableId="1248920723">
    <w:abstractNumId w:val="22"/>
  </w:num>
  <w:num w:numId="27" w16cid:durableId="703141033">
    <w:abstractNumId w:val="11"/>
  </w:num>
  <w:num w:numId="28" w16cid:durableId="438256569">
    <w:abstractNumId w:val="31"/>
  </w:num>
  <w:num w:numId="29" w16cid:durableId="743454254">
    <w:abstractNumId w:val="9"/>
  </w:num>
  <w:num w:numId="30" w16cid:durableId="1087462352">
    <w:abstractNumId w:val="7"/>
  </w:num>
  <w:num w:numId="31" w16cid:durableId="1531188327">
    <w:abstractNumId w:val="6"/>
  </w:num>
  <w:num w:numId="32" w16cid:durableId="1497725743">
    <w:abstractNumId w:val="5"/>
  </w:num>
  <w:num w:numId="33" w16cid:durableId="1906182511">
    <w:abstractNumId w:val="4"/>
  </w:num>
  <w:num w:numId="34" w16cid:durableId="572470975">
    <w:abstractNumId w:val="8"/>
  </w:num>
  <w:num w:numId="35" w16cid:durableId="286012173">
    <w:abstractNumId w:val="3"/>
  </w:num>
  <w:num w:numId="36" w16cid:durableId="2046251210">
    <w:abstractNumId w:val="2"/>
  </w:num>
  <w:num w:numId="37" w16cid:durableId="1831826574">
    <w:abstractNumId w:val="1"/>
  </w:num>
  <w:num w:numId="38" w16cid:durableId="1592473734">
    <w:abstractNumId w:val="0"/>
  </w:num>
  <w:num w:numId="39" w16cid:durableId="1733692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58360">
    <w:abstractNumId w:val="29"/>
  </w:num>
  <w:num w:numId="41" w16cid:durableId="1832598957">
    <w:abstractNumId w:val="28"/>
  </w:num>
  <w:num w:numId="42" w16cid:durableId="1356006089">
    <w:abstractNumId w:val="16"/>
  </w:num>
  <w:num w:numId="43" w16cid:durableId="433675743">
    <w:abstractNumId w:val="17"/>
  </w:num>
  <w:num w:numId="44" w16cid:durableId="51681845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5"/>
    <w:rsid w:val="00000719"/>
    <w:rsid w:val="00002D68"/>
    <w:rsid w:val="000033F7"/>
    <w:rsid w:val="00003403"/>
    <w:rsid w:val="00005347"/>
    <w:rsid w:val="000072B6"/>
    <w:rsid w:val="0001021B"/>
    <w:rsid w:val="00011D89"/>
    <w:rsid w:val="00014050"/>
    <w:rsid w:val="000154FD"/>
    <w:rsid w:val="00015D56"/>
    <w:rsid w:val="00022271"/>
    <w:rsid w:val="000235E8"/>
    <w:rsid w:val="00024D89"/>
    <w:rsid w:val="000250B6"/>
    <w:rsid w:val="00027851"/>
    <w:rsid w:val="00030CDD"/>
    <w:rsid w:val="000327C5"/>
    <w:rsid w:val="00033D81"/>
    <w:rsid w:val="00033DC9"/>
    <w:rsid w:val="00034E8D"/>
    <w:rsid w:val="00037366"/>
    <w:rsid w:val="00041BF0"/>
    <w:rsid w:val="00042C8A"/>
    <w:rsid w:val="00043FE3"/>
    <w:rsid w:val="0004536B"/>
    <w:rsid w:val="00046B68"/>
    <w:rsid w:val="0004716A"/>
    <w:rsid w:val="000527DD"/>
    <w:rsid w:val="00056EC4"/>
    <w:rsid w:val="000578B2"/>
    <w:rsid w:val="00060959"/>
    <w:rsid w:val="00060C8F"/>
    <w:rsid w:val="00062392"/>
    <w:rsid w:val="0006298A"/>
    <w:rsid w:val="00062DEC"/>
    <w:rsid w:val="000663CD"/>
    <w:rsid w:val="00070E5C"/>
    <w:rsid w:val="000733FE"/>
    <w:rsid w:val="00074219"/>
    <w:rsid w:val="00074EB3"/>
    <w:rsid w:val="00074ED5"/>
    <w:rsid w:val="00076B71"/>
    <w:rsid w:val="00077A03"/>
    <w:rsid w:val="0008204A"/>
    <w:rsid w:val="0008508E"/>
    <w:rsid w:val="000871D5"/>
    <w:rsid w:val="00087951"/>
    <w:rsid w:val="0009113B"/>
    <w:rsid w:val="00093402"/>
    <w:rsid w:val="00093AA9"/>
    <w:rsid w:val="00094DA3"/>
    <w:rsid w:val="00096CD1"/>
    <w:rsid w:val="000A012C"/>
    <w:rsid w:val="000A0EB9"/>
    <w:rsid w:val="000A186C"/>
    <w:rsid w:val="000A1D13"/>
    <w:rsid w:val="000A1EA4"/>
    <w:rsid w:val="000A2476"/>
    <w:rsid w:val="000A2F5E"/>
    <w:rsid w:val="000A4469"/>
    <w:rsid w:val="000A641A"/>
    <w:rsid w:val="000B0BE4"/>
    <w:rsid w:val="000B225A"/>
    <w:rsid w:val="000B3EDB"/>
    <w:rsid w:val="000B543D"/>
    <w:rsid w:val="000B55F9"/>
    <w:rsid w:val="000B5BF7"/>
    <w:rsid w:val="000B6BC8"/>
    <w:rsid w:val="000C0303"/>
    <w:rsid w:val="000C42EA"/>
    <w:rsid w:val="000C4546"/>
    <w:rsid w:val="000C62A9"/>
    <w:rsid w:val="000C7A78"/>
    <w:rsid w:val="000C7CB7"/>
    <w:rsid w:val="000D1242"/>
    <w:rsid w:val="000D2ABA"/>
    <w:rsid w:val="000D4F8F"/>
    <w:rsid w:val="000E0970"/>
    <w:rsid w:val="000E3CC7"/>
    <w:rsid w:val="000E3FB8"/>
    <w:rsid w:val="000E6BD4"/>
    <w:rsid w:val="000E6D6D"/>
    <w:rsid w:val="000F1F1E"/>
    <w:rsid w:val="000F2259"/>
    <w:rsid w:val="000F2DDA"/>
    <w:rsid w:val="000F2EA0"/>
    <w:rsid w:val="000F5213"/>
    <w:rsid w:val="00100B49"/>
    <w:rsid w:val="00101001"/>
    <w:rsid w:val="00103276"/>
    <w:rsid w:val="00103457"/>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3DDD"/>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18D6"/>
    <w:rsid w:val="0018244E"/>
    <w:rsid w:val="00183288"/>
    <w:rsid w:val="00186B33"/>
    <w:rsid w:val="001903EC"/>
    <w:rsid w:val="00192F9D"/>
    <w:rsid w:val="00196EB8"/>
    <w:rsid w:val="00196EFB"/>
    <w:rsid w:val="001979FF"/>
    <w:rsid w:val="00197B17"/>
    <w:rsid w:val="001A1950"/>
    <w:rsid w:val="001A1C54"/>
    <w:rsid w:val="001A3ACE"/>
    <w:rsid w:val="001A6272"/>
    <w:rsid w:val="001A6A02"/>
    <w:rsid w:val="001B058F"/>
    <w:rsid w:val="001B0A60"/>
    <w:rsid w:val="001B6B96"/>
    <w:rsid w:val="001B738B"/>
    <w:rsid w:val="001C09DB"/>
    <w:rsid w:val="001C277E"/>
    <w:rsid w:val="001C2A72"/>
    <w:rsid w:val="001C31B7"/>
    <w:rsid w:val="001C5D1C"/>
    <w:rsid w:val="001D0B75"/>
    <w:rsid w:val="001D1D86"/>
    <w:rsid w:val="001D39A5"/>
    <w:rsid w:val="001D3C09"/>
    <w:rsid w:val="001D44E8"/>
    <w:rsid w:val="001D4E3F"/>
    <w:rsid w:val="001D60EC"/>
    <w:rsid w:val="001D6F59"/>
    <w:rsid w:val="001E44DF"/>
    <w:rsid w:val="001E68A5"/>
    <w:rsid w:val="001E6BB0"/>
    <w:rsid w:val="001E7282"/>
    <w:rsid w:val="001E742B"/>
    <w:rsid w:val="001F3826"/>
    <w:rsid w:val="001F6E46"/>
    <w:rsid w:val="001F7553"/>
    <w:rsid w:val="001F7C91"/>
    <w:rsid w:val="00200270"/>
    <w:rsid w:val="002018A2"/>
    <w:rsid w:val="00202FF9"/>
    <w:rsid w:val="002033B7"/>
    <w:rsid w:val="00206463"/>
    <w:rsid w:val="00206F2F"/>
    <w:rsid w:val="00207717"/>
    <w:rsid w:val="0021053D"/>
    <w:rsid w:val="00210A92"/>
    <w:rsid w:val="0021112E"/>
    <w:rsid w:val="002113AC"/>
    <w:rsid w:val="00212B95"/>
    <w:rsid w:val="00215CC8"/>
    <w:rsid w:val="00216C03"/>
    <w:rsid w:val="00220A1A"/>
    <w:rsid w:val="00220C04"/>
    <w:rsid w:val="0022278D"/>
    <w:rsid w:val="0022701F"/>
    <w:rsid w:val="00227C68"/>
    <w:rsid w:val="00232323"/>
    <w:rsid w:val="002333F5"/>
    <w:rsid w:val="00233724"/>
    <w:rsid w:val="002365B4"/>
    <w:rsid w:val="002432E1"/>
    <w:rsid w:val="00246207"/>
    <w:rsid w:val="00246581"/>
    <w:rsid w:val="00246C5E"/>
    <w:rsid w:val="00250960"/>
    <w:rsid w:val="00251343"/>
    <w:rsid w:val="002536A4"/>
    <w:rsid w:val="00254F58"/>
    <w:rsid w:val="002620BC"/>
    <w:rsid w:val="00262802"/>
    <w:rsid w:val="00263A90"/>
    <w:rsid w:val="0026408B"/>
    <w:rsid w:val="00267C3E"/>
    <w:rsid w:val="0027055E"/>
    <w:rsid w:val="002709BB"/>
    <w:rsid w:val="0027131C"/>
    <w:rsid w:val="0027180A"/>
    <w:rsid w:val="00273BAC"/>
    <w:rsid w:val="002763B3"/>
    <w:rsid w:val="002802E3"/>
    <w:rsid w:val="0028213D"/>
    <w:rsid w:val="002862F1"/>
    <w:rsid w:val="00291373"/>
    <w:rsid w:val="0029597D"/>
    <w:rsid w:val="0029602A"/>
    <w:rsid w:val="002962C3"/>
    <w:rsid w:val="0029752B"/>
    <w:rsid w:val="00297872"/>
    <w:rsid w:val="002A0A9C"/>
    <w:rsid w:val="002A483C"/>
    <w:rsid w:val="002B0C7C"/>
    <w:rsid w:val="002B1729"/>
    <w:rsid w:val="002B36C7"/>
    <w:rsid w:val="002B4DD4"/>
    <w:rsid w:val="002B5277"/>
    <w:rsid w:val="002B5375"/>
    <w:rsid w:val="002B77C1"/>
    <w:rsid w:val="002C0ED7"/>
    <w:rsid w:val="002C205B"/>
    <w:rsid w:val="002C2728"/>
    <w:rsid w:val="002C5B7C"/>
    <w:rsid w:val="002D1E0D"/>
    <w:rsid w:val="002D5006"/>
    <w:rsid w:val="002D7C61"/>
    <w:rsid w:val="002E01D0"/>
    <w:rsid w:val="002E07F3"/>
    <w:rsid w:val="002E161D"/>
    <w:rsid w:val="002E28A2"/>
    <w:rsid w:val="002E3100"/>
    <w:rsid w:val="002E59FD"/>
    <w:rsid w:val="002E6C95"/>
    <w:rsid w:val="002E7C36"/>
    <w:rsid w:val="002F3D32"/>
    <w:rsid w:val="002F4815"/>
    <w:rsid w:val="002F5F31"/>
    <w:rsid w:val="002F5F46"/>
    <w:rsid w:val="002F6334"/>
    <w:rsid w:val="00302216"/>
    <w:rsid w:val="00303E53"/>
    <w:rsid w:val="00305CC1"/>
    <w:rsid w:val="00306E5F"/>
    <w:rsid w:val="00307E14"/>
    <w:rsid w:val="003120D1"/>
    <w:rsid w:val="0031333F"/>
    <w:rsid w:val="00314054"/>
    <w:rsid w:val="00316F27"/>
    <w:rsid w:val="003214F1"/>
    <w:rsid w:val="00322E4B"/>
    <w:rsid w:val="00327870"/>
    <w:rsid w:val="0033259D"/>
    <w:rsid w:val="003333D2"/>
    <w:rsid w:val="00334686"/>
    <w:rsid w:val="00335649"/>
    <w:rsid w:val="00337339"/>
    <w:rsid w:val="00340345"/>
    <w:rsid w:val="003406C6"/>
    <w:rsid w:val="003418CC"/>
    <w:rsid w:val="00342FBF"/>
    <w:rsid w:val="003434EE"/>
    <w:rsid w:val="003459BD"/>
    <w:rsid w:val="00350D38"/>
    <w:rsid w:val="00351B36"/>
    <w:rsid w:val="00355856"/>
    <w:rsid w:val="00357B4E"/>
    <w:rsid w:val="00363E63"/>
    <w:rsid w:val="003716FD"/>
    <w:rsid w:val="0037204B"/>
    <w:rsid w:val="003726AF"/>
    <w:rsid w:val="003744CF"/>
    <w:rsid w:val="00374717"/>
    <w:rsid w:val="0037676C"/>
    <w:rsid w:val="00381043"/>
    <w:rsid w:val="003824AD"/>
    <w:rsid w:val="003829E5"/>
    <w:rsid w:val="003837D5"/>
    <w:rsid w:val="00383B3C"/>
    <w:rsid w:val="00386109"/>
    <w:rsid w:val="00386944"/>
    <w:rsid w:val="003956CC"/>
    <w:rsid w:val="00395C9A"/>
    <w:rsid w:val="00396B72"/>
    <w:rsid w:val="003A0853"/>
    <w:rsid w:val="003A289A"/>
    <w:rsid w:val="003A295C"/>
    <w:rsid w:val="003A6B67"/>
    <w:rsid w:val="003B0A0A"/>
    <w:rsid w:val="003B13B6"/>
    <w:rsid w:val="003B14C3"/>
    <w:rsid w:val="003B15E6"/>
    <w:rsid w:val="003B22EF"/>
    <w:rsid w:val="003B3EF5"/>
    <w:rsid w:val="003B408A"/>
    <w:rsid w:val="003C08A2"/>
    <w:rsid w:val="003C2045"/>
    <w:rsid w:val="003C41A4"/>
    <w:rsid w:val="003C43A1"/>
    <w:rsid w:val="003C4FC0"/>
    <w:rsid w:val="003C55F4"/>
    <w:rsid w:val="003C7897"/>
    <w:rsid w:val="003C7A3F"/>
    <w:rsid w:val="003D24D2"/>
    <w:rsid w:val="003D2766"/>
    <w:rsid w:val="003D2A74"/>
    <w:rsid w:val="003D31D5"/>
    <w:rsid w:val="003D3D88"/>
    <w:rsid w:val="003D3E8F"/>
    <w:rsid w:val="003D6475"/>
    <w:rsid w:val="003D6EE6"/>
    <w:rsid w:val="003E375C"/>
    <w:rsid w:val="003E4086"/>
    <w:rsid w:val="003E553D"/>
    <w:rsid w:val="003E639E"/>
    <w:rsid w:val="003E71E5"/>
    <w:rsid w:val="003F0445"/>
    <w:rsid w:val="003F0CF0"/>
    <w:rsid w:val="003F14B1"/>
    <w:rsid w:val="003F2B20"/>
    <w:rsid w:val="003F2FF3"/>
    <w:rsid w:val="003F3289"/>
    <w:rsid w:val="003F3C62"/>
    <w:rsid w:val="003F5CB9"/>
    <w:rsid w:val="003F669D"/>
    <w:rsid w:val="003F792F"/>
    <w:rsid w:val="004013C7"/>
    <w:rsid w:val="00401FCF"/>
    <w:rsid w:val="00406285"/>
    <w:rsid w:val="004115A2"/>
    <w:rsid w:val="004148F9"/>
    <w:rsid w:val="00416469"/>
    <w:rsid w:val="0042084E"/>
    <w:rsid w:val="00421EEF"/>
    <w:rsid w:val="00424D65"/>
    <w:rsid w:val="00430393"/>
    <w:rsid w:val="00431806"/>
    <w:rsid w:val="00431A70"/>
    <w:rsid w:val="00431F42"/>
    <w:rsid w:val="00442C6C"/>
    <w:rsid w:val="00443CBE"/>
    <w:rsid w:val="00443E8A"/>
    <w:rsid w:val="004441BC"/>
    <w:rsid w:val="0044656F"/>
    <w:rsid w:val="004468B4"/>
    <w:rsid w:val="00446D86"/>
    <w:rsid w:val="0045230A"/>
    <w:rsid w:val="00454A7D"/>
    <w:rsid w:val="00454AD0"/>
    <w:rsid w:val="00457337"/>
    <w:rsid w:val="00457C86"/>
    <w:rsid w:val="00462E3D"/>
    <w:rsid w:val="00466E79"/>
    <w:rsid w:val="00470D7D"/>
    <w:rsid w:val="0047372D"/>
    <w:rsid w:val="00473BA3"/>
    <w:rsid w:val="004743DD"/>
    <w:rsid w:val="00474CEA"/>
    <w:rsid w:val="00476FAF"/>
    <w:rsid w:val="00483968"/>
    <w:rsid w:val="004841BE"/>
    <w:rsid w:val="00484F86"/>
    <w:rsid w:val="00490746"/>
    <w:rsid w:val="00490852"/>
    <w:rsid w:val="00491C9C"/>
    <w:rsid w:val="00492F30"/>
    <w:rsid w:val="004946F4"/>
    <w:rsid w:val="0049487E"/>
    <w:rsid w:val="004A051B"/>
    <w:rsid w:val="004A14BB"/>
    <w:rsid w:val="004A160D"/>
    <w:rsid w:val="004A3E81"/>
    <w:rsid w:val="004A4195"/>
    <w:rsid w:val="004A5024"/>
    <w:rsid w:val="004A5292"/>
    <w:rsid w:val="004A56D0"/>
    <w:rsid w:val="004A5C62"/>
    <w:rsid w:val="004A5CE5"/>
    <w:rsid w:val="004A707D"/>
    <w:rsid w:val="004B0974"/>
    <w:rsid w:val="004B4185"/>
    <w:rsid w:val="004B49F2"/>
    <w:rsid w:val="004B5FB8"/>
    <w:rsid w:val="004C0946"/>
    <w:rsid w:val="004C5541"/>
    <w:rsid w:val="004C6EEE"/>
    <w:rsid w:val="004C702B"/>
    <w:rsid w:val="004D0033"/>
    <w:rsid w:val="004D016B"/>
    <w:rsid w:val="004D0FCF"/>
    <w:rsid w:val="004D1B22"/>
    <w:rsid w:val="004D23CC"/>
    <w:rsid w:val="004D36F2"/>
    <w:rsid w:val="004E1106"/>
    <w:rsid w:val="004E138F"/>
    <w:rsid w:val="004E4649"/>
    <w:rsid w:val="004E48B8"/>
    <w:rsid w:val="004E5C2B"/>
    <w:rsid w:val="004F00DD"/>
    <w:rsid w:val="004F2133"/>
    <w:rsid w:val="004F38F0"/>
    <w:rsid w:val="004F5398"/>
    <w:rsid w:val="004F55F1"/>
    <w:rsid w:val="004F6936"/>
    <w:rsid w:val="00503DC6"/>
    <w:rsid w:val="00506A41"/>
    <w:rsid w:val="00506F5D"/>
    <w:rsid w:val="00510C37"/>
    <w:rsid w:val="00511BA0"/>
    <w:rsid w:val="005126D0"/>
    <w:rsid w:val="00514667"/>
    <w:rsid w:val="0051568D"/>
    <w:rsid w:val="00526AC7"/>
    <w:rsid w:val="00526C15"/>
    <w:rsid w:val="00530659"/>
    <w:rsid w:val="00536499"/>
    <w:rsid w:val="005373E6"/>
    <w:rsid w:val="00542A03"/>
    <w:rsid w:val="00543903"/>
    <w:rsid w:val="00543BCC"/>
    <w:rsid w:val="00543F11"/>
    <w:rsid w:val="00544135"/>
    <w:rsid w:val="00546305"/>
    <w:rsid w:val="00547A95"/>
    <w:rsid w:val="0055119B"/>
    <w:rsid w:val="00552190"/>
    <w:rsid w:val="0055318A"/>
    <w:rsid w:val="005555A8"/>
    <w:rsid w:val="00561202"/>
    <w:rsid w:val="00562507"/>
    <w:rsid w:val="00562811"/>
    <w:rsid w:val="005664B5"/>
    <w:rsid w:val="00566DD0"/>
    <w:rsid w:val="00572031"/>
    <w:rsid w:val="00572282"/>
    <w:rsid w:val="00573CE3"/>
    <w:rsid w:val="00576E84"/>
    <w:rsid w:val="00577B78"/>
    <w:rsid w:val="005800EE"/>
    <w:rsid w:val="00580394"/>
    <w:rsid w:val="005804F9"/>
    <w:rsid w:val="005809CD"/>
    <w:rsid w:val="00580B82"/>
    <w:rsid w:val="00582B8C"/>
    <w:rsid w:val="0058757E"/>
    <w:rsid w:val="00591587"/>
    <w:rsid w:val="005931F2"/>
    <w:rsid w:val="005936CA"/>
    <w:rsid w:val="00595F5C"/>
    <w:rsid w:val="00596A4B"/>
    <w:rsid w:val="00597507"/>
    <w:rsid w:val="005A479D"/>
    <w:rsid w:val="005A7021"/>
    <w:rsid w:val="005B1C6D"/>
    <w:rsid w:val="005B21B6"/>
    <w:rsid w:val="005B2979"/>
    <w:rsid w:val="005B3A08"/>
    <w:rsid w:val="005B7A63"/>
    <w:rsid w:val="005C0955"/>
    <w:rsid w:val="005C446D"/>
    <w:rsid w:val="005C49DA"/>
    <w:rsid w:val="005C50F3"/>
    <w:rsid w:val="005C54B5"/>
    <w:rsid w:val="005C5D80"/>
    <w:rsid w:val="005C5D91"/>
    <w:rsid w:val="005D07B8"/>
    <w:rsid w:val="005D2123"/>
    <w:rsid w:val="005D609A"/>
    <w:rsid w:val="005D64FB"/>
    <w:rsid w:val="005D6597"/>
    <w:rsid w:val="005D757F"/>
    <w:rsid w:val="005E14E7"/>
    <w:rsid w:val="005E26A3"/>
    <w:rsid w:val="005E2ECB"/>
    <w:rsid w:val="005E447E"/>
    <w:rsid w:val="005E4FD1"/>
    <w:rsid w:val="005E6CB1"/>
    <w:rsid w:val="005F06EB"/>
    <w:rsid w:val="005F0775"/>
    <w:rsid w:val="005F0CF5"/>
    <w:rsid w:val="005F21EB"/>
    <w:rsid w:val="005F424B"/>
    <w:rsid w:val="005F64CF"/>
    <w:rsid w:val="00601BC3"/>
    <w:rsid w:val="006041AD"/>
    <w:rsid w:val="00605908"/>
    <w:rsid w:val="00605CA5"/>
    <w:rsid w:val="00607850"/>
    <w:rsid w:val="00607DD6"/>
    <w:rsid w:val="00607EF7"/>
    <w:rsid w:val="00610D7C"/>
    <w:rsid w:val="00613414"/>
    <w:rsid w:val="00613722"/>
    <w:rsid w:val="00620154"/>
    <w:rsid w:val="0062408D"/>
    <w:rsid w:val="006240CC"/>
    <w:rsid w:val="006241E9"/>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7B3"/>
    <w:rsid w:val="006621D7"/>
    <w:rsid w:val="0066302A"/>
    <w:rsid w:val="00667770"/>
    <w:rsid w:val="00667CB6"/>
    <w:rsid w:val="00670597"/>
    <w:rsid w:val="006706D0"/>
    <w:rsid w:val="00670DAC"/>
    <w:rsid w:val="006749CC"/>
    <w:rsid w:val="00677574"/>
    <w:rsid w:val="006812ED"/>
    <w:rsid w:val="00683878"/>
    <w:rsid w:val="00684380"/>
    <w:rsid w:val="0068454C"/>
    <w:rsid w:val="00691B62"/>
    <w:rsid w:val="006933B5"/>
    <w:rsid w:val="00693D14"/>
    <w:rsid w:val="00696F27"/>
    <w:rsid w:val="006A06A3"/>
    <w:rsid w:val="006A12B4"/>
    <w:rsid w:val="006A18C2"/>
    <w:rsid w:val="006A3383"/>
    <w:rsid w:val="006B077C"/>
    <w:rsid w:val="006B1469"/>
    <w:rsid w:val="006B6803"/>
    <w:rsid w:val="006D0F16"/>
    <w:rsid w:val="006D2A3F"/>
    <w:rsid w:val="006D2FBC"/>
    <w:rsid w:val="006D30E3"/>
    <w:rsid w:val="006D31CA"/>
    <w:rsid w:val="006D397A"/>
    <w:rsid w:val="006D6828"/>
    <w:rsid w:val="006D6841"/>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36A4A"/>
    <w:rsid w:val="00740F22"/>
    <w:rsid w:val="00741CF0"/>
    <w:rsid w:val="00741F1A"/>
    <w:rsid w:val="007447DA"/>
    <w:rsid w:val="007450F8"/>
    <w:rsid w:val="0074696E"/>
    <w:rsid w:val="00750135"/>
    <w:rsid w:val="00750EC2"/>
    <w:rsid w:val="00752B28"/>
    <w:rsid w:val="007536BC"/>
    <w:rsid w:val="007541A9"/>
    <w:rsid w:val="00754E36"/>
    <w:rsid w:val="00755219"/>
    <w:rsid w:val="00756C48"/>
    <w:rsid w:val="00761AC8"/>
    <w:rsid w:val="00763139"/>
    <w:rsid w:val="007632E4"/>
    <w:rsid w:val="00767E5A"/>
    <w:rsid w:val="00770F2E"/>
    <w:rsid w:val="00770F37"/>
    <w:rsid w:val="007711A0"/>
    <w:rsid w:val="00772D5E"/>
    <w:rsid w:val="0077463E"/>
    <w:rsid w:val="0077624E"/>
    <w:rsid w:val="00776928"/>
    <w:rsid w:val="00776D56"/>
    <w:rsid w:val="00776E0F"/>
    <w:rsid w:val="007774B1"/>
    <w:rsid w:val="00777BE1"/>
    <w:rsid w:val="007808F8"/>
    <w:rsid w:val="00781CD8"/>
    <w:rsid w:val="00782222"/>
    <w:rsid w:val="007833D8"/>
    <w:rsid w:val="00785677"/>
    <w:rsid w:val="00786F16"/>
    <w:rsid w:val="00791BD7"/>
    <w:rsid w:val="007933F7"/>
    <w:rsid w:val="00796E20"/>
    <w:rsid w:val="00797C32"/>
    <w:rsid w:val="007A011B"/>
    <w:rsid w:val="007A11E8"/>
    <w:rsid w:val="007B0914"/>
    <w:rsid w:val="007B1374"/>
    <w:rsid w:val="007B17C1"/>
    <w:rsid w:val="007B32E5"/>
    <w:rsid w:val="007B3331"/>
    <w:rsid w:val="007B3DB9"/>
    <w:rsid w:val="007B589F"/>
    <w:rsid w:val="007B5B9A"/>
    <w:rsid w:val="007B6186"/>
    <w:rsid w:val="007B73BC"/>
    <w:rsid w:val="007C1838"/>
    <w:rsid w:val="007C20B9"/>
    <w:rsid w:val="007C4074"/>
    <w:rsid w:val="007C7301"/>
    <w:rsid w:val="007C7859"/>
    <w:rsid w:val="007C7F28"/>
    <w:rsid w:val="007D1466"/>
    <w:rsid w:val="007D2BDE"/>
    <w:rsid w:val="007D2FB6"/>
    <w:rsid w:val="007D31E6"/>
    <w:rsid w:val="007D49EB"/>
    <w:rsid w:val="007D5E1C"/>
    <w:rsid w:val="007E0DE2"/>
    <w:rsid w:val="007E3667"/>
    <w:rsid w:val="007E3B98"/>
    <w:rsid w:val="007E417A"/>
    <w:rsid w:val="007E434F"/>
    <w:rsid w:val="007E548D"/>
    <w:rsid w:val="007F31B6"/>
    <w:rsid w:val="007F35F5"/>
    <w:rsid w:val="007F546C"/>
    <w:rsid w:val="007F625F"/>
    <w:rsid w:val="007F665E"/>
    <w:rsid w:val="00800412"/>
    <w:rsid w:val="00803D1C"/>
    <w:rsid w:val="0080587B"/>
    <w:rsid w:val="00806468"/>
    <w:rsid w:val="008119CA"/>
    <w:rsid w:val="008130C4"/>
    <w:rsid w:val="00814228"/>
    <w:rsid w:val="008155F0"/>
    <w:rsid w:val="00816735"/>
    <w:rsid w:val="008168A2"/>
    <w:rsid w:val="00820141"/>
    <w:rsid w:val="00820E0C"/>
    <w:rsid w:val="00822CAE"/>
    <w:rsid w:val="00823275"/>
    <w:rsid w:val="0082366F"/>
    <w:rsid w:val="008240F0"/>
    <w:rsid w:val="00831C5D"/>
    <w:rsid w:val="008338A2"/>
    <w:rsid w:val="00834134"/>
    <w:rsid w:val="00835FD4"/>
    <w:rsid w:val="00841AA9"/>
    <w:rsid w:val="00841DF9"/>
    <w:rsid w:val="008474FE"/>
    <w:rsid w:val="0084775C"/>
    <w:rsid w:val="0085171D"/>
    <w:rsid w:val="00853EE4"/>
    <w:rsid w:val="00855535"/>
    <w:rsid w:val="00857BE3"/>
    <w:rsid w:val="00857C5A"/>
    <w:rsid w:val="00860964"/>
    <w:rsid w:val="0086255E"/>
    <w:rsid w:val="008633F0"/>
    <w:rsid w:val="00867D9D"/>
    <w:rsid w:val="00872490"/>
    <w:rsid w:val="00872E0A"/>
    <w:rsid w:val="00873594"/>
    <w:rsid w:val="00875285"/>
    <w:rsid w:val="00875C64"/>
    <w:rsid w:val="00883500"/>
    <w:rsid w:val="00884B62"/>
    <w:rsid w:val="0088529C"/>
    <w:rsid w:val="00887903"/>
    <w:rsid w:val="0089270A"/>
    <w:rsid w:val="00893AF6"/>
    <w:rsid w:val="00894BC4"/>
    <w:rsid w:val="00896890"/>
    <w:rsid w:val="008977D1"/>
    <w:rsid w:val="008A28A8"/>
    <w:rsid w:val="008A54AC"/>
    <w:rsid w:val="008A5590"/>
    <w:rsid w:val="008A5B32"/>
    <w:rsid w:val="008B2029"/>
    <w:rsid w:val="008B2EE4"/>
    <w:rsid w:val="008B3821"/>
    <w:rsid w:val="008B4D3D"/>
    <w:rsid w:val="008B57C7"/>
    <w:rsid w:val="008C2F92"/>
    <w:rsid w:val="008C3546"/>
    <w:rsid w:val="008C589D"/>
    <w:rsid w:val="008C6D51"/>
    <w:rsid w:val="008C7247"/>
    <w:rsid w:val="008D2846"/>
    <w:rsid w:val="008D4236"/>
    <w:rsid w:val="008D462F"/>
    <w:rsid w:val="008D6D2A"/>
    <w:rsid w:val="008D6DCF"/>
    <w:rsid w:val="008E4376"/>
    <w:rsid w:val="008E7A0A"/>
    <w:rsid w:val="008E7B49"/>
    <w:rsid w:val="008F59F6"/>
    <w:rsid w:val="00900719"/>
    <w:rsid w:val="009017AC"/>
    <w:rsid w:val="00902123"/>
    <w:rsid w:val="00902A9A"/>
    <w:rsid w:val="00904778"/>
    <w:rsid w:val="00904A1C"/>
    <w:rsid w:val="00905030"/>
    <w:rsid w:val="00906490"/>
    <w:rsid w:val="009111B2"/>
    <w:rsid w:val="009151F5"/>
    <w:rsid w:val="00920CF1"/>
    <w:rsid w:val="00924AE1"/>
    <w:rsid w:val="009269B1"/>
    <w:rsid w:val="0092724D"/>
    <w:rsid w:val="009272B3"/>
    <w:rsid w:val="009315BE"/>
    <w:rsid w:val="00931811"/>
    <w:rsid w:val="009321E3"/>
    <w:rsid w:val="009326DD"/>
    <w:rsid w:val="0093338F"/>
    <w:rsid w:val="009358A1"/>
    <w:rsid w:val="00937BD9"/>
    <w:rsid w:val="00937C0C"/>
    <w:rsid w:val="00947AD8"/>
    <w:rsid w:val="00950E2C"/>
    <w:rsid w:val="00951D50"/>
    <w:rsid w:val="009525EB"/>
    <w:rsid w:val="0095470B"/>
    <w:rsid w:val="00954874"/>
    <w:rsid w:val="00955997"/>
    <w:rsid w:val="0095615A"/>
    <w:rsid w:val="0096128B"/>
    <w:rsid w:val="00961400"/>
    <w:rsid w:val="00963646"/>
    <w:rsid w:val="0096632D"/>
    <w:rsid w:val="0096701C"/>
    <w:rsid w:val="00967124"/>
    <w:rsid w:val="0097166C"/>
    <w:rsid w:val="009718C7"/>
    <w:rsid w:val="0097559F"/>
    <w:rsid w:val="009761EA"/>
    <w:rsid w:val="0097761E"/>
    <w:rsid w:val="00977D59"/>
    <w:rsid w:val="00982454"/>
    <w:rsid w:val="00982CF0"/>
    <w:rsid w:val="009853E1"/>
    <w:rsid w:val="00986E6B"/>
    <w:rsid w:val="00987BD9"/>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3795"/>
    <w:rsid w:val="009B5622"/>
    <w:rsid w:val="009B59E9"/>
    <w:rsid w:val="009B70AA"/>
    <w:rsid w:val="009C245E"/>
    <w:rsid w:val="009C5E77"/>
    <w:rsid w:val="009C7A7E"/>
    <w:rsid w:val="009D02E8"/>
    <w:rsid w:val="009D51D0"/>
    <w:rsid w:val="009D70A4"/>
    <w:rsid w:val="009D72A0"/>
    <w:rsid w:val="009D7B14"/>
    <w:rsid w:val="009E08D1"/>
    <w:rsid w:val="009E0D96"/>
    <w:rsid w:val="009E1B95"/>
    <w:rsid w:val="009E496F"/>
    <w:rsid w:val="009E4B0D"/>
    <w:rsid w:val="009E5250"/>
    <w:rsid w:val="009E7A69"/>
    <w:rsid w:val="009E7F92"/>
    <w:rsid w:val="009F02A3"/>
    <w:rsid w:val="009F2182"/>
    <w:rsid w:val="009F2F27"/>
    <w:rsid w:val="009F34AA"/>
    <w:rsid w:val="009F4DE1"/>
    <w:rsid w:val="009F5AD7"/>
    <w:rsid w:val="009F6BCB"/>
    <w:rsid w:val="009F7B78"/>
    <w:rsid w:val="00A0057A"/>
    <w:rsid w:val="00A02FA1"/>
    <w:rsid w:val="00A04CCE"/>
    <w:rsid w:val="00A06454"/>
    <w:rsid w:val="00A07421"/>
    <w:rsid w:val="00A0776B"/>
    <w:rsid w:val="00A10205"/>
    <w:rsid w:val="00A10FB9"/>
    <w:rsid w:val="00A11421"/>
    <w:rsid w:val="00A1389F"/>
    <w:rsid w:val="00A13B7A"/>
    <w:rsid w:val="00A157B1"/>
    <w:rsid w:val="00A170F1"/>
    <w:rsid w:val="00A22229"/>
    <w:rsid w:val="00A22482"/>
    <w:rsid w:val="00A24442"/>
    <w:rsid w:val="00A24ADA"/>
    <w:rsid w:val="00A308E4"/>
    <w:rsid w:val="00A31E33"/>
    <w:rsid w:val="00A32577"/>
    <w:rsid w:val="00A330BB"/>
    <w:rsid w:val="00A446F5"/>
    <w:rsid w:val="00A44882"/>
    <w:rsid w:val="00A45125"/>
    <w:rsid w:val="00A54715"/>
    <w:rsid w:val="00A56B21"/>
    <w:rsid w:val="00A6061C"/>
    <w:rsid w:val="00A62D44"/>
    <w:rsid w:val="00A65719"/>
    <w:rsid w:val="00A67263"/>
    <w:rsid w:val="00A70250"/>
    <w:rsid w:val="00A7161C"/>
    <w:rsid w:val="00A71CE4"/>
    <w:rsid w:val="00A77AA3"/>
    <w:rsid w:val="00A81285"/>
    <w:rsid w:val="00A8236D"/>
    <w:rsid w:val="00A854EB"/>
    <w:rsid w:val="00A872E5"/>
    <w:rsid w:val="00A91406"/>
    <w:rsid w:val="00A96E65"/>
    <w:rsid w:val="00A96ECE"/>
    <w:rsid w:val="00A97C72"/>
    <w:rsid w:val="00AA0A40"/>
    <w:rsid w:val="00AA310B"/>
    <w:rsid w:val="00AA4FAF"/>
    <w:rsid w:val="00AA52D1"/>
    <w:rsid w:val="00AA63D4"/>
    <w:rsid w:val="00AB06E8"/>
    <w:rsid w:val="00AB1CD3"/>
    <w:rsid w:val="00AB352F"/>
    <w:rsid w:val="00AC0B37"/>
    <w:rsid w:val="00AC274B"/>
    <w:rsid w:val="00AC2EAF"/>
    <w:rsid w:val="00AC3CB1"/>
    <w:rsid w:val="00AC4764"/>
    <w:rsid w:val="00AC6D36"/>
    <w:rsid w:val="00AD0886"/>
    <w:rsid w:val="00AD0CBA"/>
    <w:rsid w:val="00AD26E2"/>
    <w:rsid w:val="00AD784C"/>
    <w:rsid w:val="00AE126A"/>
    <w:rsid w:val="00AE1BAE"/>
    <w:rsid w:val="00AE3005"/>
    <w:rsid w:val="00AE3BD5"/>
    <w:rsid w:val="00AE59A0"/>
    <w:rsid w:val="00AF0C57"/>
    <w:rsid w:val="00AF26F3"/>
    <w:rsid w:val="00AF5F04"/>
    <w:rsid w:val="00AF7D1C"/>
    <w:rsid w:val="00B00672"/>
    <w:rsid w:val="00B01B4D"/>
    <w:rsid w:val="00B04489"/>
    <w:rsid w:val="00B06571"/>
    <w:rsid w:val="00B068BA"/>
    <w:rsid w:val="00B07217"/>
    <w:rsid w:val="00B07279"/>
    <w:rsid w:val="00B10BBC"/>
    <w:rsid w:val="00B11D58"/>
    <w:rsid w:val="00B13851"/>
    <w:rsid w:val="00B13B1C"/>
    <w:rsid w:val="00B14B5F"/>
    <w:rsid w:val="00B2028A"/>
    <w:rsid w:val="00B21F90"/>
    <w:rsid w:val="00B22291"/>
    <w:rsid w:val="00B23F9A"/>
    <w:rsid w:val="00B2417B"/>
    <w:rsid w:val="00B24E6F"/>
    <w:rsid w:val="00B26CB5"/>
    <w:rsid w:val="00B2752E"/>
    <w:rsid w:val="00B307CC"/>
    <w:rsid w:val="00B31068"/>
    <w:rsid w:val="00B326B7"/>
    <w:rsid w:val="00B35775"/>
    <w:rsid w:val="00B3588E"/>
    <w:rsid w:val="00B4198F"/>
    <w:rsid w:val="00B41F3D"/>
    <w:rsid w:val="00B42352"/>
    <w:rsid w:val="00B431E8"/>
    <w:rsid w:val="00B438AB"/>
    <w:rsid w:val="00B44552"/>
    <w:rsid w:val="00B45141"/>
    <w:rsid w:val="00B519CD"/>
    <w:rsid w:val="00B5273A"/>
    <w:rsid w:val="00B5323B"/>
    <w:rsid w:val="00B57329"/>
    <w:rsid w:val="00B60E61"/>
    <w:rsid w:val="00B62B50"/>
    <w:rsid w:val="00B635B7"/>
    <w:rsid w:val="00B63AE8"/>
    <w:rsid w:val="00B65950"/>
    <w:rsid w:val="00B66D83"/>
    <w:rsid w:val="00B672C0"/>
    <w:rsid w:val="00B676FD"/>
    <w:rsid w:val="00B678B6"/>
    <w:rsid w:val="00B700FB"/>
    <w:rsid w:val="00B75646"/>
    <w:rsid w:val="00B7629E"/>
    <w:rsid w:val="00B90729"/>
    <w:rsid w:val="00B907DA"/>
    <w:rsid w:val="00B90B09"/>
    <w:rsid w:val="00B91497"/>
    <w:rsid w:val="00B93196"/>
    <w:rsid w:val="00B94C5E"/>
    <w:rsid w:val="00B950BC"/>
    <w:rsid w:val="00B9714C"/>
    <w:rsid w:val="00BA2309"/>
    <w:rsid w:val="00BA230D"/>
    <w:rsid w:val="00BA26F6"/>
    <w:rsid w:val="00BA29AD"/>
    <w:rsid w:val="00BA33CF"/>
    <w:rsid w:val="00BA3F8D"/>
    <w:rsid w:val="00BA5FA2"/>
    <w:rsid w:val="00BA7879"/>
    <w:rsid w:val="00BB3245"/>
    <w:rsid w:val="00BB4A96"/>
    <w:rsid w:val="00BB74AC"/>
    <w:rsid w:val="00BB7A10"/>
    <w:rsid w:val="00BC543B"/>
    <w:rsid w:val="00BC60BE"/>
    <w:rsid w:val="00BC7468"/>
    <w:rsid w:val="00BC7D4F"/>
    <w:rsid w:val="00BC7ED7"/>
    <w:rsid w:val="00BD2850"/>
    <w:rsid w:val="00BE28D2"/>
    <w:rsid w:val="00BE4A64"/>
    <w:rsid w:val="00BE5E43"/>
    <w:rsid w:val="00BE7885"/>
    <w:rsid w:val="00BF1D92"/>
    <w:rsid w:val="00BF3C7B"/>
    <w:rsid w:val="00BF557D"/>
    <w:rsid w:val="00BF56EE"/>
    <w:rsid w:val="00BF658D"/>
    <w:rsid w:val="00BF7F58"/>
    <w:rsid w:val="00C00B10"/>
    <w:rsid w:val="00C01381"/>
    <w:rsid w:val="00C01AB1"/>
    <w:rsid w:val="00C026A0"/>
    <w:rsid w:val="00C06137"/>
    <w:rsid w:val="00C06929"/>
    <w:rsid w:val="00C079B8"/>
    <w:rsid w:val="00C10037"/>
    <w:rsid w:val="00C115E1"/>
    <w:rsid w:val="00C11AAB"/>
    <w:rsid w:val="00C123EA"/>
    <w:rsid w:val="00C12A49"/>
    <w:rsid w:val="00C133EE"/>
    <w:rsid w:val="00C149D0"/>
    <w:rsid w:val="00C1676A"/>
    <w:rsid w:val="00C23438"/>
    <w:rsid w:val="00C2468C"/>
    <w:rsid w:val="00C2492F"/>
    <w:rsid w:val="00C25CC7"/>
    <w:rsid w:val="00C26588"/>
    <w:rsid w:val="00C27DE9"/>
    <w:rsid w:val="00C32989"/>
    <w:rsid w:val="00C33388"/>
    <w:rsid w:val="00C339A5"/>
    <w:rsid w:val="00C35484"/>
    <w:rsid w:val="00C40963"/>
    <w:rsid w:val="00C4173A"/>
    <w:rsid w:val="00C447A9"/>
    <w:rsid w:val="00C50DED"/>
    <w:rsid w:val="00C51604"/>
    <w:rsid w:val="00C52217"/>
    <w:rsid w:val="00C57EDD"/>
    <w:rsid w:val="00C602FF"/>
    <w:rsid w:val="00C60411"/>
    <w:rsid w:val="00C61174"/>
    <w:rsid w:val="00C6148F"/>
    <w:rsid w:val="00C61555"/>
    <w:rsid w:val="00C621B1"/>
    <w:rsid w:val="00C62845"/>
    <w:rsid w:val="00C62F7A"/>
    <w:rsid w:val="00C63B9C"/>
    <w:rsid w:val="00C6682F"/>
    <w:rsid w:val="00C67BF4"/>
    <w:rsid w:val="00C7275E"/>
    <w:rsid w:val="00C731AF"/>
    <w:rsid w:val="00C74C5D"/>
    <w:rsid w:val="00C81F6E"/>
    <w:rsid w:val="00C85ED3"/>
    <w:rsid w:val="00C863C4"/>
    <w:rsid w:val="00C90DAB"/>
    <w:rsid w:val="00C920EA"/>
    <w:rsid w:val="00C93C3E"/>
    <w:rsid w:val="00CA112F"/>
    <w:rsid w:val="00CA12E3"/>
    <w:rsid w:val="00CA1476"/>
    <w:rsid w:val="00CA6611"/>
    <w:rsid w:val="00CA6AE6"/>
    <w:rsid w:val="00CA6DCA"/>
    <w:rsid w:val="00CA782F"/>
    <w:rsid w:val="00CB187B"/>
    <w:rsid w:val="00CB2835"/>
    <w:rsid w:val="00CB3285"/>
    <w:rsid w:val="00CB4500"/>
    <w:rsid w:val="00CB50B3"/>
    <w:rsid w:val="00CC0C72"/>
    <w:rsid w:val="00CC2BFD"/>
    <w:rsid w:val="00CC6F40"/>
    <w:rsid w:val="00CC7E6A"/>
    <w:rsid w:val="00CD3476"/>
    <w:rsid w:val="00CD64DF"/>
    <w:rsid w:val="00CE225F"/>
    <w:rsid w:val="00CE5A7A"/>
    <w:rsid w:val="00CF2F50"/>
    <w:rsid w:val="00CF3C7D"/>
    <w:rsid w:val="00CF6198"/>
    <w:rsid w:val="00D02919"/>
    <w:rsid w:val="00D04C61"/>
    <w:rsid w:val="00D05B8D"/>
    <w:rsid w:val="00D05B9B"/>
    <w:rsid w:val="00D065A2"/>
    <w:rsid w:val="00D079AA"/>
    <w:rsid w:val="00D07F00"/>
    <w:rsid w:val="00D1130F"/>
    <w:rsid w:val="00D15C0F"/>
    <w:rsid w:val="00D17B72"/>
    <w:rsid w:val="00D24256"/>
    <w:rsid w:val="00D25441"/>
    <w:rsid w:val="00D263F8"/>
    <w:rsid w:val="00D3185C"/>
    <w:rsid w:val="00D31907"/>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65A63"/>
    <w:rsid w:val="00D714CC"/>
    <w:rsid w:val="00D75EA7"/>
    <w:rsid w:val="00D76ECC"/>
    <w:rsid w:val="00D77633"/>
    <w:rsid w:val="00D81ADF"/>
    <w:rsid w:val="00D81F21"/>
    <w:rsid w:val="00D864F2"/>
    <w:rsid w:val="00D91E6E"/>
    <w:rsid w:val="00D943F8"/>
    <w:rsid w:val="00D95470"/>
    <w:rsid w:val="00D96B55"/>
    <w:rsid w:val="00DA2619"/>
    <w:rsid w:val="00DA4239"/>
    <w:rsid w:val="00DA588C"/>
    <w:rsid w:val="00DA65DE"/>
    <w:rsid w:val="00DA7CF3"/>
    <w:rsid w:val="00DB0B61"/>
    <w:rsid w:val="00DB1474"/>
    <w:rsid w:val="00DB2962"/>
    <w:rsid w:val="00DB52FB"/>
    <w:rsid w:val="00DC013B"/>
    <w:rsid w:val="00DC090B"/>
    <w:rsid w:val="00DC1679"/>
    <w:rsid w:val="00DC219B"/>
    <w:rsid w:val="00DC2CF1"/>
    <w:rsid w:val="00DC2DC7"/>
    <w:rsid w:val="00DC2DEF"/>
    <w:rsid w:val="00DC2EA0"/>
    <w:rsid w:val="00DC3A7C"/>
    <w:rsid w:val="00DC4FCF"/>
    <w:rsid w:val="00DC50E0"/>
    <w:rsid w:val="00DC570E"/>
    <w:rsid w:val="00DC6386"/>
    <w:rsid w:val="00DD1130"/>
    <w:rsid w:val="00DD1951"/>
    <w:rsid w:val="00DD290D"/>
    <w:rsid w:val="00DD487D"/>
    <w:rsid w:val="00DD4E83"/>
    <w:rsid w:val="00DD6628"/>
    <w:rsid w:val="00DD6945"/>
    <w:rsid w:val="00DE0D8C"/>
    <w:rsid w:val="00DE2D04"/>
    <w:rsid w:val="00DE3250"/>
    <w:rsid w:val="00DE6028"/>
    <w:rsid w:val="00DE6C85"/>
    <w:rsid w:val="00DE718F"/>
    <w:rsid w:val="00DE78A3"/>
    <w:rsid w:val="00DF0A6E"/>
    <w:rsid w:val="00DF1A71"/>
    <w:rsid w:val="00DF50FC"/>
    <w:rsid w:val="00DF68C7"/>
    <w:rsid w:val="00DF731A"/>
    <w:rsid w:val="00E023F9"/>
    <w:rsid w:val="00E032B7"/>
    <w:rsid w:val="00E06B75"/>
    <w:rsid w:val="00E10699"/>
    <w:rsid w:val="00E11332"/>
    <w:rsid w:val="00E11352"/>
    <w:rsid w:val="00E16123"/>
    <w:rsid w:val="00E170DC"/>
    <w:rsid w:val="00E17546"/>
    <w:rsid w:val="00E210B5"/>
    <w:rsid w:val="00E23E2C"/>
    <w:rsid w:val="00E2425C"/>
    <w:rsid w:val="00E261B3"/>
    <w:rsid w:val="00E26818"/>
    <w:rsid w:val="00E27086"/>
    <w:rsid w:val="00E27FFC"/>
    <w:rsid w:val="00E30B15"/>
    <w:rsid w:val="00E30C92"/>
    <w:rsid w:val="00E33237"/>
    <w:rsid w:val="00E40181"/>
    <w:rsid w:val="00E405E1"/>
    <w:rsid w:val="00E54950"/>
    <w:rsid w:val="00E55FB3"/>
    <w:rsid w:val="00E56A01"/>
    <w:rsid w:val="00E61D19"/>
    <w:rsid w:val="00E629A1"/>
    <w:rsid w:val="00E6305D"/>
    <w:rsid w:val="00E6794C"/>
    <w:rsid w:val="00E71591"/>
    <w:rsid w:val="00E71CEB"/>
    <w:rsid w:val="00E7474F"/>
    <w:rsid w:val="00E80DE3"/>
    <w:rsid w:val="00E82C55"/>
    <w:rsid w:val="00E870C8"/>
    <w:rsid w:val="00E8787E"/>
    <w:rsid w:val="00E9042A"/>
    <w:rsid w:val="00E92AC3"/>
    <w:rsid w:val="00EA2F6A"/>
    <w:rsid w:val="00EA472C"/>
    <w:rsid w:val="00EA545E"/>
    <w:rsid w:val="00EB00E0"/>
    <w:rsid w:val="00EB05D5"/>
    <w:rsid w:val="00EB3F1C"/>
    <w:rsid w:val="00EB4BC7"/>
    <w:rsid w:val="00EB56B9"/>
    <w:rsid w:val="00EB776B"/>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E7818"/>
    <w:rsid w:val="00EF109B"/>
    <w:rsid w:val="00EF1540"/>
    <w:rsid w:val="00EF201C"/>
    <w:rsid w:val="00EF2C72"/>
    <w:rsid w:val="00EF36AF"/>
    <w:rsid w:val="00EF59A3"/>
    <w:rsid w:val="00EF6675"/>
    <w:rsid w:val="00F0063D"/>
    <w:rsid w:val="00F00F9C"/>
    <w:rsid w:val="00F01E5F"/>
    <w:rsid w:val="00F024F3"/>
    <w:rsid w:val="00F02ABA"/>
    <w:rsid w:val="00F0437A"/>
    <w:rsid w:val="00F04967"/>
    <w:rsid w:val="00F101B8"/>
    <w:rsid w:val="00F10A9D"/>
    <w:rsid w:val="00F11037"/>
    <w:rsid w:val="00F16F1B"/>
    <w:rsid w:val="00F250A9"/>
    <w:rsid w:val="00F267AF"/>
    <w:rsid w:val="00F30FF4"/>
    <w:rsid w:val="00F3122E"/>
    <w:rsid w:val="00F32368"/>
    <w:rsid w:val="00F331AD"/>
    <w:rsid w:val="00F35287"/>
    <w:rsid w:val="00F3781A"/>
    <w:rsid w:val="00F40A70"/>
    <w:rsid w:val="00F43A37"/>
    <w:rsid w:val="00F45899"/>
    <w:rsid w:val="00F4641B"/>
    <w:rsid w:val="00F46EB8"/>
    <w:rsid w:val="00F501A1"/>
    <w:rsid w:val="00F50CD1"/>
    <w:rsid w:val="00F511E4"/>
    <w:rsid w:val="00F52D09"/>
    <w:rsid w:val="00F52E08"/>
    <w:rsid w:val="00F53A66"/>
    <w:rsid w:val="00F5462D"/>
    <w:rsid w:val="00F55B21"/>
    <w:rsid w:val="00F56EF6"/>
    <w:rsid w:val="00F579A6"/>
    <w:rsid w:val="00F60082"/>
    <w:rsid w:val="00F61A9F"/>
    <w:rsid w:val="00F61B5F"/>
    <w:rsid w:val="00F64696"/>
    <w:rsid w:val="00F658AD"/>
    <w:rsid w:val="00F65AA9"/>
    <w:rsid w:val="00F6768F"/>
    <w:rsid w:val="00F67EA8"/>
    <w:rsid w:val="00F72C2C"/>
    <w:rsid w:val="00F741F2"/>
    <w:rsid w:val="00F75483"/>
    <w:rsid w:val="00F76CAB"/>
    <w:rsid w:val="00F76FC6"/>
    <w:rsid w:val="00F772C6"/>
    <w:rsid w:val="00F815B5"/>
    <w:rsid w:val="00F815F2"/>
    <w:rsid w:val="00F85195"/>
    <w:rsid w:val="00F868E3"/>
    <w:rsid w:val="00F905FF"/>
    <w:rsid w:val="00F92A90"/>
    <w:rsid w:val="00F938BA"/>
    <w:rsid w:val="00F97919"/>
    <w:rsid w:val="00FA2C46"/>
    <w:rsid w:val="00FA3525"/>
    <w:rsid w:val="00FA37E8"/>
    <w:rsid w:val="00FA5A53"/>
    <w:rsid w:val="00FB0A8A"/>
    <w:rsid w:val="00FB0D2E"/>
    <w:rsid w:val="00FB0E37"/>
    <w:rsid w:val="00FB1F6E"/>
    <w:rsid w:val="00FB27B8"/>
    <w:rsid w:val="00FB2B59"/>
    <w:rsid w:val="00FB4769"/>
    <w:rsid w:val="00FB4CDA"/>
    <w:rsid w:val="00FB6481"/>
    <w:rsid w:val="00FB6D36"/>
    <w:rsid w:val="00FC0965"/>
    <w:rsid w:val="00FC0F81"/>
    <w:rsid w:val="00FC252F"/>
    <w:rsid w:val="00FC395C"/>
    <w:rsid w:val="00FC4F71"/>
    <w:rsid w:val="00FC5E8E"/>
    <w:rsid w:val="00FD20EB"/>
    <w:rsid w:val="00FD3766"/>
    <w:rsid w:val="00FD3D05"/>
    <w:rsid w:val="00FD47C4"/>
    <w:rsid w:val="00FD6EA9"/>
    <w:rsid w:val="00FE2DCF"/>
    <w:rsid w:val="00FE3FA7"/>
    <w:rsid w:val="00FE4081"/>
    <w:rsid w:val="00FF2A4E"/>
    <w:rsid w:val="00FF2FCE"/>
    <w:rsid w:val="00FF330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9D7C72"/>
  <w15:docId w15:val="{0FA0E9EB-DDE0-4A91-A5C6-C6FA666F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75"/>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line="280" w:lineRule="atLeast"/>
      <w:outlineLvl w:val="4"/>
    </w:pPr>
    <w:rPr>
      <w:rFonts w:ascii="Arial" w:eastAsia="MS Mincho" w:hAnsi="Arial" w:cs="Times New Roman"/>
      <w:b/>
      <w:bCs/>
      <w:iCs/>
      <w:color w:val="000000" w:themeColor="text1"/>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line="280" w:lineRule="atLeast"/>
    </w:pPr>
    <w:rPr>
      <w:rFonts w:ascii="Arial" w:eastAsia="Times New Roman" w:hAnsi="Arial" w:cs="Times New Roman"/>
      <w:b/>
      <w:noProof/>
      <w:sz w:val="21"/>
      <w:szCs w:val="20"/>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line="280" w:lineRule="atLeast"/>
    </w:pPr>
    <w:rPr>
      <w:rFonts w:ascii="Arial" w:eastAsia="Times New Roman" w:hAnsi="Arial" w:cs="Times New Roman"/>
      <w:noProof/>
      <w:sz w:val="21"/>
      <w:szCs w:val="20"/>
    </w:rPr>
  </w:style>
  <w:style w:type="paragraph" w:styleId="TOC3">
    <w:name w:val="toc 3"/>
    <w:basedOn w:val="Normal"/>
    <w:next w:val="Normal"/>
    <w:uiPriority w:val="39"/>
    <w:rsid w:val="000033F7"/>
    <w:pPr>
      <w:keepLines/>
      <w:tabs>
        <w:tab w:val="right" w:leader="dot" w:pos="9299"/>
      </w:tabs>
      <w:spacing w:after="60" w:line="280" w:lineRule="atLeast"/>
      <w:ind w:left="284"/>
    </w:pPr>
    <w:rPr>
      <w:rFonts w:ascii="Arial" w:eastAsia="Times New Roman" w:hAnsi="Arial" w:cs="Arial"/>
      <w:sz w:val="21"/>
      <w:szCs w:val="20"/>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sz w:val="21"/>
      <w:szCs w:val="20"/>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sz w:val="21"/>
      <w:szCs w:val="20"/>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sz w:val="21"/>
      <w:szCs w:val="20"/>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sz w:val="21"/>
      <w:szCs w:val="20"/>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eastAsia="Times New Roman" w:hAnsi="Calibri Light" w:cs="Times New Roman"/>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eastAsia="Times New Roman" w:hAnsi="Arial" w:cs="Times New Roman"/>
      <w:sz w:val="21"/>
      <w:szCs w:val="20"/>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basedOn w:val="Normal"/>
    <w:uiPriority w:val="72"/>
    <w:semiHidden/>
    <w:qFormat/>
    <w:rsid w:val="00B700FB"/>
    <w:pPr>
      <w:ind w:left="720"/>
      <w:contextualSpacing/>
    </w:pPr>
  </w:style>
  <w:style w:type="character" w:customStyle="1" w:styleId="HeaderChar">
    <w:name w:val="Header Char"/>
    <w:basedOn w:val="DefaultParagraphFont"/>
    <w:link w:val="Header"/>
    <w:uiPriority w:val="99"/>
    <w:rsid w:val="008C7247"/>
    <w:rPr>
      <w:rFonts w:ascii="Arial" w:hAnsi="Arial" w:cs="Arial"/>
      <w:b/>
      <w:color w:val="53565A"/>
      <w:sz w:val="18"/>
      <w:szCs w:val="18"/>
      <w:lang w:eastAsia="en-US"/>
    </w:rPr>
  </w:style>
  <w:style w:type="numbering" w:customStyle="1" w:styleId="ZZNumbers">
    <w:name w:val="ZZ Numbers"/>
    <w:rsid w:val="00857BE3"/>
    <w:pPr>
      <w:numPr>
        <w:numId w:val="44"/>
      </w:numPr>
    </w:pPr>
  </w:style>
  <w:style w:type="paragraph" w:customStyle="1" w:styleId="DHHSnumberdigit">
    <w:name w:val="DHHS number digit"/>
    <w:basedOn w:val="Normal"/>
    <w:uiPriority w:val="2"/>
    <w:rsid w:val="00857BE3"/>
    <w:pPr>
      <w:numPr>
        <w:numId w:val="44"/>
      </w:numPr>
      <w:spacing w:after="100" w:line="270" w:lineRule="atLeast"/>
    </w:pPr>
    <w:rPr>
      <w:rFonts w:ascii="Arial" w:eastAsia="Times" w:hAnsi="Arial" w:cs="Times New Roman"/>
      <w:sz w:val="21"/>
      <w:szCs w:val="21"/>
    </w:rPr>
  </w:style>
  <w:style w:type="paragraph" w:customStyle="1" w:styleId="DHHSnumberloweralphaindent">
    <w:name w:val="DHHS number lower alpha indent"/>
    <w:basedOn w:val="Normal"/>
    <w:uiPriority w:val="3"/>
    <w:rsid w:val="00857BE3"/>
    <w:pPr>
      <w:numPr>
        <w:ilvl w:val="3"/>
        <w:numId w:val="44"/>
      </w:numPr>
      <w:spacing w:after="100" w:line="270" w:lineRule="atLeast"/>
    </w:pPr>
    <w:rPr>
      <w:rFonts w:ascii="Arial" w:eastAsia="Times" w:hAnsi="Arial" w:cs="Times New Roman"/>
      <w:sz w:val="21"/>
      <w:szCs w:val="21"/>
    </w:rPr>
  </w:style>
  <w:style w:type="paragraph" w:customStyle="1" w:styleId="DHHSnumberdigitindent">
    <w:name w:val="DHHS number digit indent"/>
    <w:basedOn w:val="DHHSnumberloweralphaindent"/>
    <w:uiPriority w:val="3"/>
    <w:rsid w:val="00857BE3"/>
    <w:pPr>
      <w:numPr>
        <w:ilvl w:val="1"/>
      </w:numPr>
    </w:pPr>
  </w:style>
  <w:style w:type="paragraph" w:customStyle="1" w:styleId="DHHSnumberloweralpha">
    <w:name w:val="DHHS number lower alpha"/>
    <w:basedOn w:val="Normal"/>
    <w:uiPriority w:val="3"/>
    <w:rsid w:val="00857BE3"/>
    <w:pPr>
      <w:numPr>
        <w:ilvl w:val="2"/>
        <w:numId w:val="44"/>
      </w:numPr>
      <w:spacing w:after="100" w:line="270" w:lineRule="atLeast"/>
    </w:pPr>
    <w:rPr>
      <w:rFonts w:ascii="Arial" w:eastAsia="Times" w:hAnsi="Arial" w:cs="Times New Roman"/>
      <w:sz w:val="21"/>
      <w:szCs w:val="21"/>
    </w:rPr>
  </w:style>
  <w:style w:type="paragraph" w:customStyle="1" w:styleId="DHHSnumberlowerroman">
    <w:name w:val="DHHS number lower roman"/>
    <w:basedOn w:val="Normal"/>
    <w:uiPriority w:val="3"/>
    <w:rsid w:val="00857BE3"/>
    <w:pPr>
      <w:numPr>
        <w:ilvl w:val="4"/>
        <w:numId w:val="44"/>
      </w:numPr>
      <w:spacing w:after="100" w:line="270" w:lineRule="atLeast"/>
    </w:pPr>
    <w:rPr>
      <w:rFonts w:ascii="Arial" w:eastAsia="Times" w:hAnsi="Arial" w:cs="Times New Roman"/>
      <w:sz w:val="21"/>
      <w:szCs w:val="21"/>
    </w:rPr>
  </w:style>
  <w:style w:type="paragraph" w:customStyle="1" w:styleId="DHHSnumberlowerromanindent">
    <w:name w:val="DHHS number lower roman indent"/>
    <w:basedOn w:val="Normal"/>
    <w:uiPriority w:val="3"/>
    <w:rsid w:val="00857BE3"/>
    <w:pPr>
      <w:numPr>
        <w:ilvl w:val="5"/>
        <w:numId w:val="44"/>
      </w:numPr>
      <w:spacing w:after="100" w:line="270" w:lineRule="atLeast"/>
    </w:pPr>
    <w:rPr>
      <w:rFonts w:ascii="Arial" w:eastAsia="Times"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atient-care/nept-legislation-and-clinical-practice-protocol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PTFirstAidRegulation@health.vic.gov.au" TargetMode="External"/><Relationship Id="rId2" Type="http://schemas.openxmlformats.org/officeDocument/2006/relationships/customXml" Target="../customXml/item2.xml"/><Relationship Id="rId16" Type="http://schemas.openxmlformats.org/officeDocument/2006/relationships/hyperlink" Target="https://www.health.vic.gov.au/patient-care/nept-legislation-and-clinical-practice-protoco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9" ma:contentTypeDescription="Create a new document." ma:contentTypeScope="" ma:versionID="5f1109dfa6e2b1a2798aa84f7a5369a2">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ab30b9bb588c199fcd6e660900991a85"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8E9522E-D69C-4C57-912B-681250A8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951ee8a1-a92c-40bc-9e81-d80532d07b49"/>
    <ds:schemaRef ds:uri="http://purl.org/dc/terms/"/>
    <ds:schemaRef ds:uri="http://schemas.openxmlformats.org/package/2006/metadata/core-properties"/>
    <ds:schemaRef ds:uri="http://purl.org/dc/dcmitype/"/>
    <ds:schemaRef ds:uri="http://schemas.microsoft.com/office/infopath/2007/PartnerControls"/>
    <ds:schemaRef ds:uri="5ce0f2b5-5be5-4508-bce9-d7011ece0659"/>
    <ds:schemaRef ds:uri="14671b8e-e891-4910-86ff-35e0958d08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Non-emergency patient transport clinical practice protocols 2023 - change log</vt:lpstr>
    </vt:vector>
  </TitlesOfParts>
  <Manager/>
  <Company>Victoria State Government, Department of Health</Company>
  <LinksUpToDate>false</LinksUpToDate>
  <CharactersWithSpaces>6831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Non-emergency patient transport clinical practice protocols 2023 - change log</dc:title>
  <dc:subject/>
  <dc:creator>Non-emergency patient transport</dc:creator>
  <cp:keywords/>
  <dc:description/>
  <cp:lastModifiedBy>Tyler McPherson (Health)</cp:lastModifiedBy>
  <cp:revision>2</cp:revision>
  <cp:lastPrinted>2023-02-21T02:33:00Z</cp:lastPrinted>
  <dcterms:created xsi:type="dcterms:W3CDTF">2023-05-17T04:13:00Z</dcterms:created>
  <dcterms:modified xsi:type="dcterms:W3CDTF">2023-05-17T04:13:00Z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2023-05-17T04:13:15Z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a5bf19ad-3ce4-4206-bd53-708ab36d74f5</vt:lpwstr>
  </property>
  <property fmtid="{D5CDD505-2E9C-101B-9397-08002B2CF9AE}" pid="12" name="MSIP_Label_43e64453-338c-4f93-8a4d-0039a0a41f2a_ContentBits">
    <vt:lpwstr>2</vt:lpwstr>
  </property>
</Properties>
</file>